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3"/>
        <w:spacing w:before="0" w:beforeAutospacing="0" w:after="0" w:afterAutospacing="0"/>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63"/>
        <w:jc w:val="both"/>
        <w:spacing w:before="0" w:beforeAutospacing="0" w:after="0" w:afterAutospacing="0"/>
        <w:rPr>
          <w:rFonts w:ascii="方正仿宋_GBK" w:hAnsi="方正仿宋_GBK" w:eastAsia="方正仿宋_GBK" w:cs="方正仿宋_GBK"/>
          <w:color w:val="auto"/>
          <w:sz w:val="28"/>
          <w:szCs w:val="28"/>
          <w:highlight w:val="none"/>
        </w:rPr>
      </w:pPr>
      <w:r/>
      <w:bookmarkStart w:id="0" w:name="EB3ace3d43b98b41779337deb808be6fa3"/>
      <w:r>
        <w:rPr>
          <w:rFonts w:hint="eastAsia" w:ascii="方正仿宋_GBK" w:hAnsi="方正仿宋_GBK" w:eastAsia="方正仿宋_GBK" w:cs="方正仿宋_GBK"/>
          <w:color w:val="auto"/>
          <w:sz w:val="28"/>
          <w:szCs w:val="28"/>
          <w:highlight w:val="none"/>
          <w:shd w:val="clear" w:color="auto" w:fill="ffffff"/>
        </w:rPr>
        <w:t xml:space="preserve"> </w:t>
      </w:r>
      <w:bookmarkEnd w:id="0"/>
      <w:r/>
      <w:bookmarkStart w:id="1" w:name="EB57dd2a69e2b54b0cb3f5c2f03a1ab7bf"/>
      <w:r>
        <w:rPr>
          <w:rFonts w:hint="eastAsia" w:ascii="方正仿宋_GBK" w:hAnsi="方正仿宋_GBK" w:eastAsia="方正仿宋_GBK" w:cs="方正仿宋_GBK"/>
          <w:color w:val="auto"/>
          <w:sz w:val="28"/>
          <w:szCs w:val="28"/>
          <w:highlight w:val="none"/>
          <w:shd w:val="clear" w:color="auto" w:fill="ffffff"/>
        </w:rPr>
        <w:t xml:space="preserve"> </w:t>
      </w:r>
      <w:bookmarkEnd w:id="1"/>
      <w:r/>
      <w:r/>
    </w:p>
    <w:p>
      <w:pPr>
        <w:pStyle w:val="863"/>
        <w:jc w:val="both"/>
        <w:spacing w:before="0" w:beforeAutospacing="0" w:after="0" w:afterAutospacing="0"/>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63"/>
        <w:jc w:val="center"/>
        <w:spacing w:before="120" w:beforeAutospacing="0" w:after="120" w:afterAutospacing="0"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
          <w:bCs/>
          <w:color w:val="auto"/>
          <w:sz w:val="72"/>
          <w:szCs w:val="72"/>
          <w:highlight w:val="none"/>
        </w:rPr>
        <w:t xml:space="preserve">招 标 文 件</w:t>
      </w:r>
      <w:r>
        <w:rPr>
          <w:rFonts w:hint="eastAsia" w:ascii="方正仿宋_GBK" w:hAnsi="方正仿宋_GBK" w:eastAsia="方正仿宋_GBK" w:cs="方正仿宋_GBK"/>
          <w:b/>
          <w:bCs/>
          <w:color w:val="auto"/>
          <w:sz w:val="52"/>
          <w:szCs w:val="52"/>
          <w:highlight w:val="none"/>
        </w:rPr>
        <w:t xml:space="preserve">   </w:t>
      </w:r>
      <w:r/>
    </w:p>
    <w:p>
      <w:pPr>
        <w:pStyle w:val="863"/>
        <w:jc w:val="both"/>
        <w:spacing w:before="0" w:beforeAutospacing="0" w:after="0" w:afterAutospacing="0" w:line="480" w:lineRule="auto"/>
        <w:rPr>
          <w:rFonts w:ascii="方正仿宋_GBK" w:hAnsi="方正仿宋_GBK" w:eastAsia="方正仿宋_GBK" w:cs="方正仿宋_GBK"/>
          <w:b/>
          <w:bCs/>
          <w:color w:val="auto"/>
          <w:sz w:val="28"/>
          <w:szCs w:val="28"/>
          <w:highlight w:val="none"/>
        </w:rPr>
      </w:pPr>
      <w:r>
        <w:rPr>
          <w:rFonts w:ascii="方正仿宋_GBK" w:hAnsi="方正仿宋_GBK" w:eastAsia="方正仿宋_GBK" w:cs="方正仿宋_GBK"/>
          <w:b/>
          <w:bCs/>
          <w:color w:val="auto"/>
          <w:sz w:val="28"/>
          <w:szCs w:val="28"/>
          <w:highlight w:val="none"/>
        </w:rPr>
      </w:r>
      <w:r/>
    </w:p>
    <w:p>
      <w:pPr>
        <w:pStyle w:val="863"/>
        <w:jc w:val="both"/>
        <w:spacing w:before="0" w:beforeAutospacing="0" w:after="0" w:afterAutospacing="0" w:line="480" w:lineRule="auto"/>
        <w:rPr>
          <w:rFonts w:ascii="方正仿宋_GBK" w:hAnsi="方正仿宋_GBK" w:eastAsia="方正仿宋_GBK" w:cs="方正仿宋_GBK"/>
          <w:b/>
          <w:bCs/>
          <w:color w:val="auto"/>
          <w:sz w:val="28"/>
          <w:szCs w:val="28"/>
          <w:highlight w:val="none"/>
        </w:rPr>
      </w:pPr>
      <w:r>
        <w:rPr>
          <w:rFonts w:ascii="方正仿宋_GBK" w:hAnsi="方正仿宋_GBK" w:eastAsia="方正仿宋_GBK" w:cs="方正仿宋_GBK"/>
          <w:b/>
          <w:bCs/>
          <w:color w:val="auto"/>
          <w:sz w:val="28"/>
          <w:szCs w:val="28"/>
          <w:highlight w:val="none"/>
        </w:rPr>
      </w:r>
      <w:r/>
    </w:p>
    <w:p>
      <w:pPr>
        <w:pStyle w:val="863"/>
        <w:ind w:firstLine="1201"/>
        <w:jc w:val="both"/>
        <w:spacing w:before="0" w:beforeAutospacing="0" w:after="0" w:afterAutospacing="0" w:line="480" w:lineRule="auto"/>
        <w:rPr>
          <w:rFonts w:ascii="方正仿宋_GBK" w:hAnsi="方正仿宋_GBK" w:eastAsia="方正仿宋_GBK" w:cs="方正仿宋_GBK"/>
          <w:color w:val="auto"/>
          <w:sz w:val="30"/>
          <w:szCs w:val="30"/>
          <w:highlight w:val="none"/>
        </w:rPr>
        <w:outlineLvl w:val="0"/>
      </w:pPr>
      <w:r/>
      <w:bookmarkStart w:id="2" w:name="_Toc12074"/>
      <w:r/>
      <w:bookmarkStart w:id="3" w:name="_Toc14984"/>
      <w:r/>
      <w:bookmarkStart w:id="4" w:name="_Toc26828"/>
      <w:r/>
      <w:bookmarkStart w:id="5" w:name="_Toc14639"/>
      <w:r>
        <w:rPr>
          <w:rFonts w:hint="eastAsia" w:ascii="方正仿宋_GBK" w:hAnsi="方正仿宋_GBK" w:eastAsia="方正仿宋_GBK" w:cs="方正仿宋_GBK"/>
          <w:b/>
          <w:bCs/>
          <w:color w:val="auto"/>
          <w:sz w:val="30"/>
          <w:szCs w:val="30"/>
          <w:highlight w:val="none"/>
        </w:rPr>
        <w:t xml:space="preserve">项目名称：</w:t>
      </w:r>
      <w:bookmarkEnd w:id="2"/>
      <w:r/>
      <w:bookmarkEnd w:id="3"/>
      <w:r/>
      <w:bookmarkEnd w:id="4"/>
      <w:r/>
      <w:bookmarkEnd w:id="5"/>
      <w:r>
        <w:rPr>
          <w:rFonts w:hint="eastAsia" w:ascii="方正仿宋_GBK" w:hAnsi="方正仿宋_GBK" w:eastAsia="方正仿宋_GBK" w:cs="方正仿宋_GBK"/>
          <w:b/>
          <w:bCs/>
          <w:color w:val="auto"/>
          <w:sz w:val="30"/>
          <w:szCs w:val="30"/>
          <w:highlight w:val="none"/>
        </w:rPr>
        <w:t xml:space="preserve">雪亮工程社会面联网项目（一标段）</w:t>
      </w:r>
      <w:r/>
    </w:p>
    <w:p>
      <w:pPr>
        <w:pStyle w:val="863"/>
        <w:ind w:firstLine="1201"/>
        <w:jc w:val="both"/>
        <w:spacing w:before="0" w:beforeAutospacing="0" w:after="0" w:afterAutospacing="0" w:line="480" w:lineRule="auto"/>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b/>
          <w:bCs/>
          <w:color w:val="auto"/>
          <w:sz w:val="30"/>
          <w:szCs w:val="30"/>
          <w:highlight w:val="none"/>
        </w:rPr>
        <w:t xml:space="preserve">项目编号：JSZC-321324-JZCG-G2025-0024</w:t>
      </w:r>
      <w:r/>
    </w:p>
    <w:p>
      <w:pPr>
        <w:pStyle w:val="863"/>
        <w:ind w:firstLine="602"/>
        <w:jc w:val="both"/>
        <w:spacing w:before="0" w:beforeAutospacing="0" w:after="0" w:afterAutospacing="0" w:line="480" w:lineRule="auto"/>
        <w:rPr>
          <w:rFonts w:ascii="方正仿宋_GBK" w:hAnsi="方正仿宋_GBK" w:eastAsia="方正仿宋_GBK" w:cs="方正仿宋_GBK"/>
          <w:color w:val="auto"/>
          <w:sz w:val="30"/>
          <w:szCs w:val="30"/>
          <w:highlight w:val="none"/>
        </w:rPr>
        <w:outlineLvl w:val="0"/>
      </w:pPr>
      <w:r/>
      <w:bookmarkStart w:id="6" w:name="_Toc6786"/>
      <w:r/>
      <w:bookmarkStart w:id="7" w:name="_Toc21355"/>
      <w:r/>
      <w:bookmarkStart w:id="8" w:name="_Toc20861"/>
      <w:r/>
      <w:bookmarkStart w:id="9" w:name="_Toc12306"/>
      <w:r>
        <w:rPr>
          <w:rFonts w:hint="eastAsia" w:ascii="方正仿宋_GBK" w:hAnsi="方正仿宋_GBK" w:eastAsia="方正仿宋_GBK" w:cs="方正仿宋_GBK"/>
          <w:b/>
          <w:bCs/>
          <w:color w:val="auto"/>
          <w:sz w:val="30"/>
          <w:szCs w:val="30"/>
          <w:highlight w:val="none"/>
        </w:rPr>
        <w:t xml:space="preserve"> </w:t>
      </w:r>
      <w:r>
        <w:rPr>
          <w:rFonts w:hint="eastAsia" w:ascii="方正仿宋_GBK" w:hAnsi="方正仿宋_GBK" w:eastAsia="方正仿宋_GBK" w:cs="方正仿宋_GBK"/>
          <w:color w:val="auto"/>
          <w:sz w:val="30"/>
          <w:szCs w:val="30"/>
          <w:highlight w:val="none"/>
        </w:rPr>
        <w:t xml:space="preserve">  </w:t>
      </w:r>
      <w:r>
        <w:rPr>
          <w:rFonts w:hint="eastAsia" w:ascii="方正仿宋_GBK" w:hAnsi="方正仿宋_GBK" w:eastAsia="方正仿宋_GBK" w:cs="方正仿宋_GBK"/>
          <w:b/>
          <w:bCs/>
          <w:color w:val="auto"/>
          <w:sz w:val="30"/>
          <w:szCs w:val="30"/>
          <w:highlight w:val="none"/>
        </w:rPr>
        <w:t xml:space="preserve">（服务类项目，</w:t>
      </w:r>
      <w:r>
        <w:rPr>
          <w:rFonts w:hint="eastAsia" w:ascii="方正仿宋_GBK" w:hAnsi="方正仿宋_GBK" w:eastAsia="方正仿宋_GBK" w:cs="方正仿宋_GBK"/>
          <w:b/>
          <w:bCs/>
          <w:color w:val="auto"/>
          <w:sz w:val="30"/>
          <w:szCs w:val="30"/>
          <w:highlight w:val="none"/>
          <w:u w:val="single"/>
        </w:rPr>
        <w:t xml:space="preserve"> 本项目是 </w:t>
      </w:r>
      <w:r>
        <w:rPr>
          <w:rFonts w:hint="eastAsia" w:ascii="方正仿宋_GBK" w:hAnsi="方正仿宋_GBK" w:eastAsia="方正仿宋_GBK" w:cs="方正仿宋_GBK"/>
          <w:b/>
          <w:bCs/>
          <w:color w:val="auto"/>
          <w:sz w:val="30"/>
          <w:szCs w:val="30"/>
          <w:highlight w:val="none"/>
        </w:rPr>
        <w:t xml:space="preserve">专门面向中小企业）</w:t>
      </w:r>
      <w:bookmarkEnd w:id="6"/>
      <w:r/>
      <w:bookmarkEnd w:id="7"/>
      <w:r/>
      <w:bookmarkEnd w:id="8"/>
      <w:r/>
      <w:bookmarkEnd w:id="9"/>
      <w:r/>
      <w:r/>
    </w:p>
    <w:p>
      <w:pPr>
        <w:pStyle w:val="863"/>
        <w:spacing w:before="0" w:beforeAutospacing="0" w:after="0" w:afterAutospacing="0"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63"/>
        <w:spacing w:before="0" w:beforeAutospacing="0" w:after="0" w:afterAutospacing="0"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63"/>
        <w:spacing w:before="0" w:beforeAutospacing="0" w:after="0" w:afterAutospacing="0"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63"/>
        <w:spacing w:before="0" w:beforeAutospacing="0" w:after="0" w:afterAutospacing="0"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63"/>
        <w:spacing w:before="0" w:beforeAutospacing="0" w:after="0" w:afterAutospacing="0"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63"/>
        <w:spacing w:before="0" w:beforeAutospacing="0" w:after="0" w:afterAutospacing="0"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63"/>
        <w:ind w:firstLine="1506"/>
        <w:jc w:val="both"/>
        <w:spacing w:before="120" w:beforeAutospacing="0" w:after="120" w:afterAutospacing="0" w:line="360" w:lineRule="auto"/>
        <w:rPr>
          <w:rFonts w:ascii="方正仿宋_GBK" w:hAnsi="方正仿宋_GBK" w:eastAsia="方正仿宋_GBK" w:cs="方正仿宋_GBK"/>
          <w:color w:val="auto"/>
          <w:sz w:val="30"/>
          <w:szCs w:val="30"/>
          <w:highlight w:val="none"/>
          <w:u w:val="single"/>
        </w:rPr>
        <w:outlineLvl w:val="0"/>
      </w:pPr>
      <w:r/>
      <w:bookmarkStart w:id="10" w:name="_Toc5082"/>
      <w:r/>
      <w:bookmarkStart w:id="11" w:name="_Toc29357"/>
      <w:r/>
      <w:bookmarkStart w:id="12" w:name="_Toc29674"/>
      <w:r/>
      <w:bookmarkStart w:id="13" w:name="_Toc12002"/>
      <w:r>
        <w:rPr>
          <w:rFonts w:hint="eastAsia" w:ascii="方正仿宋_GBK" w:hAnsi="方正仿宋_GBK" w:eastAsia="方正仿宋_GBK" w:cs="方正仿宋_GBK"/>
          <w:b/>
          <w:bCs/>
          <w:color w:val="auto"/>
          <w:sz w:val="30"/>
          <w:szCs w:val="30"/>
          <w:highlight w:val="none"/>
        </w:rPr>
        <w:t xml:space="preserve">采  购  人：</w:t>
      </w:r>
      <w:bookmarkEnd w:id="10"/>
      <w:r/>
      <w:bookmarkEnd w:id="11"/>
      <w:r/>
      <w:bookmarkEnd w:id="12"/>
      <w:r/>
      <w:bookmarkEnd w:id="13"/>
      <w:r>
        <w:rPr>
          <w:rFonts w:hint="eastAsia" w:ascii="方正仿宋_GBK" w:hAnsi="方正仿宋_GBK" w:eastAsia="方正仿宋_GBK" w:cs="方正仿宋_GBK"/>
          <w:b/>
          <w:bCs/>
          <w:color w:val="auto"/>
          <w:sz w:val="30"/>
          <w:szCs w:val="30"/>
          <w:highlight w:val="none"/>
          <w:u w:val="single"/>
        </w:rPr>
        <w:t xml:space="preserve">泗洪县公安局</w:t>
      </w:r>
      <w:r/>
    </w:p>
    <w:p>
      <w:pPr>
        <w:pStyle w:val="863"/>
        <w:jc w:val="center"/>
        <w:spacing w:before="120" w:beforeAutospacing="0" w:after="120" w:afterAutospacing="0" w:line="360" w:lineRule="auto"/>
        <w:rPr>
          <w:rFonts w:ascii="方正仿宋_GBK" w:hAnsi="方正仿宋_GBK" w:eastAsia="方正仿宋_GBK" w:cs="方正仿宋_GBK"/>
          <w:b/>
          <w:bCs/>
          <w:color w:val="auto"/>
          <w:sz w:val="30"/>
          <w:szCs w:val="30"/>
          <w:highlight w:val="none"/>
        </w:rPr>
        <w:outlineLvl w:val="0"/>
      </w:pPr>
      <w:r/>
      <w:bookmarkStart w:id="14" w:name="_Toc15097"/>
      <w:r/>
      <w:bookmarkStart w:id="15" w:name="_Toc1955"/>
      <w:r/>
      <w:bookmarkStart w:id="16" w:name="_Toc15872"/>
      <w:r/>
      <w:bookmarkStart w:id="17" w:name="_Toc10024"/>
      <w:r>
        <w:rPr>
          <w:rFonts w:hint="eastAsia" w:ascii="方正仿宋_GBK" w:hAnsi="方正仿宋_GBK" w:eastAsia="方正仿宋_GBK" w:cs="方正仿宋_GBK"/>
          <w:b/>
          <w:bCs/>
          <w:color w:val="auto"/>
          <w:sz w:val="30"/>
          <w:szCs w:val="30"/>
          <w:highlight w:val="none"/>
        </w:rPr>
        <w:t xml:space="preserve">采购代理机构：</w:t>
      </w:r>
      <w:r>
        <w:rPr>
          <w:rFonts w:hint="eastAsia" w:ascii="方正仿宋_GBK" w:hAnsi="方正仿宋_GBK" w:eastAsia="方正仿宋_GBK" w:cs="方正仿宋_GBK"/>
          <w:b/>
          <w:bCs/>
          <w:color w:val="auto"/>
          <w:sz w:val="30"/>
          <w:szCs w:val="30"/>
          <w:highlight w:val="none"/>
          <w:u w:val="single"/>
        </w:rPr>
        <w:t xml:space="preserve">泗洪县公共资源交易中心</w:t>
      </w:r>
      <w:bookmarkEnd w:id="14"/>
      <w:r/>
      <w:bookmarkEnd w:id="15"/>
      <w:r/>
      <w:bookmarkEnd w:id="16"/>
      <w:r/>
      <w:bookmarkEnd w:id="17"/>
      <w:r/>
      <w:r/>
    </w:p>
    <w:p>
      <w:pPr>
        <w:pStyle w:val="863"/>
        <w:ind w:firstLine="2570"/>
        <w:jc w:val="both"/>
        <w:spacing w:before="120" w:beforeAutospacing="0" w:after="120" w:afterAutospacing="0" w:line="360" w:lineRule="auto"/>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b/>
          <w:bCs/>
          <w:color w:val="auto"/>
          <w:sz w:val="30"/>
          <w:szCs w:val="30"/>
          <w:highlight w:val="none"/>
        </w:rPr>
        <w:t xml:space="preserve">2025年</w:t>
      </w:r>
      <w:r>
        <w:rPr>
          <w:rFonts w:hint="eastAsia" w:ascii="方正仿宋_GBK" w:hAnsi="方正仿宋_GBK" w:eastAsia="方正仿宋_GBK" w:cs="方正仿宋_GBK"/>
          <w:b/>
          <w:bCs/>
          <w:color w:val="auto"/>
          <w:sz w:val="30"/>
          <w:szCs w:val="30"/>
          <w:highlight w:val="none"/>
          <w:lang w:val="en-US" w:eastAsia="zh-CN"/>
        </w:rPr>
        <w:t xml:space="preserve">11</w:t>
      </w:r>
      <w:r>
        <w:rPr>
          <w:rFonts w:hint="eastAsia" w:ascii="方正仿宋_GBK" w:hAnsi="方正仿宋_GBK" w:eastAsia="方正仿宋_GBK" w:cs="方正仿宋_GBK"/>
          <w:b/>
          <w:bCs/>
          <w:color w:val="auto"/>
          <w:sz w:val="30"/>
          <w:szCs w:val="30"/>
          <w:highlight w:val="none"/>
        </w:rPr>
        <w:t xml:space="preserve">月</w:t>
      </w:r>
      <w:r>
        <w:rPr>
          <w:rFonts w:hint="eastAsia" w:ascii="方正仿宋_GBK" w:hAnsi="方正仿宋_GBK" w:eastAsia="方正仿宋_GBK" w:cs="方正仿宋_GBK"/>
          <w:b/>
          <w:bCs/>
          <w:color w:val="auto"/>
          <w:sz w:val="30"/>
          <w:szCs w:val="30"/>
          <w:highlight w:val="none"/>
          <w:lang w:val="en-US" w:eastAsia="zh-CN"/>
        </w:rPr>
        <w:t xml:space="preserve">03</w:t>
      </w:r>
      <w:r>
        <w:rPr>
          <w:rFonts w:hint="eastAsia" w:ascii="方正仿宋_GBK" w:hAnsi="方正仿宋_GBK" w:eastAsia="方正仿宋_GBK" w:cs="方正仿宋_GBK"/>
          <w:b/>
          <w:bCs/>
          <w:color w:val="auto"/>
          <w:sz w:val="30"/>
          <w:szCs w:val="30"/>
          <w:highlight w:val="none"/>
        </w:rPr>
        <w:t xml:space="preserve">日</w:t>
      </w:r>
      <w:r>
        <w:rPr>
          <w:rFonts w:hint="eastAsia" w:ascii="方正仿宋_GBK" w:hAnsi="方正仿宋_GBK" w:eastAsia="方正仿宋_GBK" w:cs="方正仿宋_GBK"/>
          <w:b/>
          <w:bCs/>
          <w:color w:val="auto"/>
          <w:sz w:val="30"/>
          <w:szCs w:val="30"/>
          <w:highlight w:val="none"/>
        </w:rPr>
      </w:r>
      <w:r/>
    </w:p>
    <w:p>
      <w:pPr>
        <w:pStyle w:val="863"/>
        <w:jc w:val="center"/>
        <w:keepLines/>
        <w:keepNext/>
        <w:pageBreakBefore/>
        <w:spacing w:before="0" w:beforeAutospacing="0" w:after="0" w:afterAutospacing="0"/>
        <w:rPr>
          <w:rFonts w:ascii="方正仿宋_GBK" w:hAnsi="方正仿宋_GBK" w:eastAsia="方正仿宋_GBK" w:cs="方正仿宋_GBK"/>
          <w:b/>
          <w:bCs/>
          <w:color w:val="auto"/>
          <w:sz w:val="28"/>
          <w:szCs w:val="28"/>
          <w:highlight w:val="none"/>
          <w:shd w:val="clear" w:color="auto" w:fill="ffffff"/>
        </w:rPr>
        <w:sectPr>
          <w:footnotePr/>
          <w:endnotePr/>
          <w:type w:val="nextPage"/>
          <w:pgSz w:w="11906" w:h="16838" w:orient="portrait"/>
          <w:pgMar w:top="1440" w:right="1800" w:bottom="1440" w:left="1800" w:header="851" w:footer="992" w:gutter="0"/>
          <w:cols w:num="1" w:sep="0" w:space="1701" w:equalWidth="1"/>
          <w:docGrid w:linePitch="360"/>
        </w:sectPr>
      </w:pPr>
      <w:r>
        <w:rPr>
          <w:rFonts w:ascii="方正仿宋_GBK" w:hAnsi="方正仿宋_GBK" w:eastAsia="方正仿宋_GBK" w:cs="方正仿宋_GBK"/>
          <w:b/>
          <w:bCs/>
          <w:color w:val="auto"/>
          <w:sz w:val="28"/>
          <w:szCs w:val="28"/>
          <w:highlight w:val="none"/>
          <w:shd w:val="clear" w:color="auto" w:fill="ffffff"/>
        </w:rPr>
      </w:r>
      <w:r/>
    </w:p>
    <w:p>
      <w:pPr>
        <w:pStyle w:val="863"/>
        <w:jc w:val="center"/>
        <w:keepLines/>
        <w:keepNext/>
        <w:pageBreakBefore/>
        <w:spacing w:before="0" w:beforeAutospacing="0" w:after="0" w:afterAutospacing="0"/>
        <w:rPr>
          <w:rFonts w:ascii="方正仿宋_GBK" w:hAnsi="方正仿宋_GBK" w:eastAsia="方正仿宋_GBK" w:cs="方正仿宋_GBK"/>
          <w:b/>
          <w:bCs/>
          <w:color w:val="auto"/>
          <w:sz w:val="28"/>
          <w:szCs w:val="28"/>
          <w:highlight w:val="none"/>
          <w:shd w:val="clear" w:color="auto" w:fill="ffffff"/>
        </w:rPr>
      </w:pPr>
      <w:r>
        <w:rPr>
          <w:rFonts w:hint="eastAsia" w:ascii="方正仿宋_GBK" w:hAnsi="方正仿宋_GBK" w:eastAsia="方正仿宋_GBK" w:cs="方正仿宋_GBK"/>
          <w:b/>
          <w:bCs/>
          <w:color w:val="auto"/>
          <w:sz w:val="28"/>
          <w:szCs w:val="28"/>
          <w:highlight w:val="none"/>
          <w:shd w:val="clear" w:color="auto" w:fill="ffffff"/>
        </w:rPr>
        <w:t xml:space="preserve">目 录</w:t>
      </w:r>
      <w:r/>
    </w:p>
    <w:p>
      <w:pPr>
        <w:pStyle w:val="674"/>
        <w:tabs>
          <w:tab w:val="right" w:pos="8306" w:leader="dot"/>
        </w:tabs>
        <w:rPr>
          <w:rFonts w:ascii="方正仿宋_GBK" w:hAnsi="方正仿宋_GBK" w:eastAsia="方正仿宋_GBK" w:cs="方正仿宋_GBK"/>
          <w:color w:val="auto"/>
          <w:sz w:val="28"/>
          <w:szCs w:val="28"/>
          <w:highlight w:val="none"/>
        </w:rPr>
      </w:pPr>
      <w:r/>
      <w:bookmarkStart w:id="18" w:name="_Toc176774443"/>
      <w:r/>
      <w:bookmarkStart w:id="19" w:name="_Toc81575189"/>
      <w:r/>
      <w:bookmarkStart w:id="20" w:name="_Toc81575152"/>
      <w:r>
        <w:rPr>
          <w:rFonts w:hint="eastAsia" w:ascii="方正仿宋_GBK" w:hAnsi="方正仿宋_GBK" w:eastAsia="方正仿宋_GBK" w:cs="方正仿宋_GBK"/>
          <w:b/>
          <w:bCs/>
          <w:color w:val="auto"/>
          <w:sz w:val="28"/>
          <w:szCs w:val="28"/>
          <w:highlight w:val="none"/>
          <w:shd w:val="clear" w:color="auto" w:fill="ffffff"/>
        </w:rPr>
        <w:fldChar w:fldCharType="begin"/>
      </w:r>
      <w:r>
        <w:rPr>
          <w:rFonts w:hint="eastAsia" w:ascii="方正仿宋_GBK" w:hAnsi="方正仿宋_GBK" w:eastAsia="方正仿宋_GBK" w:cs="方正仿宋_GBK"/>
          <w:b/>
          <w:bCs/>
          <w:color w:val="auto"/>
          <w:sz w:val="28"/>
          <w:szCs w:val="28"/>
          <w:highlight w:val="none"/>
          <w:shd w:val="clear" w:color="auto" w:fill="ffffff"/>
        </w:rPr>
        <w:instrText xml:space="preserve">TOC \o "1-1" \h \u </w:instrText>
      </w:r>
      <w:r>
        <w:rPr>
          <w:rFonts w:hint="eastAsia" w:ascii="方正仿宋_GBK" w:hAnsi="方正仿宋_GBK" w:eastAsia="方正仿宋_GBK" w:cs="方正仿宋_GBK"/>
          <w:b/>
          <w:bCs/>
          <w:color w:val="auto"/>
          <w:sz w:val="28"/>
          <w:szCs w:val="28"/>
          <w:highlight w:val="none"/>
          <w:shd w:val="clear" w:color="auto" w:fill="ffffff"/>
        </w:rPr>
        <w:fldChar w:fldCharType="separate"/>
      </w:r>
      <w:r/>
    </w:p>
    <w:p>
      <w:pPr>
        <w:pStyle w:val="674"/>
        <w:spacing w:line="360" w:lineRule="auto"/>
        <w:tabs>
          <w:tab w:val="right" w:pos="8306" w:leader="dot"/>
        </w:tabs>
        <w:rPr>
          <w:rFonts w:ascii="方正仿宋_GBK" w:hAnsi="方正仿宋_GBK" w:eastAsia="方正仿宋_GBK" w:cs="方正仿宋_GBK"/>
          <w:bCs/>
          <w:color w:val="auto"/>
          <w:sz w:val="28"/>
          <w:szCs w:val="28"/>
          <w:highlight w:val="none"/>
          <w:shd w:val="clear" w:color="auto" w:fill="ffffff"/>
        </w:rPr>
      </w:pPr>
      <w:r>
        <w:rPr>
          <w:color w:val="auto"/>
          <w:highlight w:val="none"/>
        </w:rPr>
        <w:fldChar w:fldCharType="begin"/>
      </w:r>
      <w:r>
        <w:rPr>
          <w:color w:val="auto"/>
          <w:highlight w:val="none"/>
        </w:rPr>
        <w:instrText xml:space="preserve"> HYPERLINK \l "_Toc21993" </w:instrText>
      </w:r>
      <w:r>
        <w:rPr>
          <w:color w:val="auto"/>
          <w:highlight w:val="none"/>
        </w:rPr>
        <w:fldChar w:fldCharType="separate"/>
      </w:r>
      <w:r>
        <w:rPr>
          <w:rFonts w:hint="eastAsia" w:ascii="方正仿宋_GBK" w:hAnsi="方正仿宋_GBK" w:eastAsia="方正仿宋_GBK" w:cs="方正仿宋_GBK"/>
          <w:bCs/>
          <w:color w:val="auto"/>
          <w:sz w:val="28"/>
          <w:szCs w:val="28"/>
          <w:highlight w:val="none"/>
          <w:shd w:val="clear" w:color="auto" w:fill="ffffff"/>
        </w:rPr>
        <w:t xml:space="preserve">第一部分  投标邀请函</w:t>
      </w:r>
      <w:r>
        <w:rPr>
          <w:rFonts w:hint="eastAsia" w:ascii="方正仿宋_GBK" w:hAnsi="方正仿宋_GBK" w:eastAsia="方正仿宋_GBK" w:cs="方正仿宋_GBK"/>
          <w:color w:val="auto"/>
          <w:sz w:val="28"/>
          <w:szCs w:val="28"/>
          <w:highlight w:val="none"/>
        </w:rPr>
        <w:tab/>
      </w:r>
      <w:r>
        <w:rPr>
          <w:rFonts w:hint="eastAsia" w:ascii="方正仿宋_GBK" w:hAnsi="方正仿宋_GBK" w:eastAsia="方正仿宋_GBK" w:cs="方正仿宋_GBK"/>
          <w:color w:val="auto"/>
          <w:sz w:val="28"/>
          <w:szCs w:val="28"/>
          <w:highlight w:val="none"/>
        </w:rPr>
        <w:t xml:space="preserve">1</w:t>
      </w:r>
      <w:r>
        <w:rPr>
          <w:rFonts w:hint="eastAsia" w:ascii="方正仿宋_GBK" w:hAnsi="方正仿宋_GBK" w:eastAsia="方正仿宋_GBK" w:cs="方正仿宋_GBK"/>
          <w:color w:val="auto"/>
          <w:sz w:val="28"/>
          <w:szCs w:val="28"/>
          <w:highlight w:val="none"/>
        </w:rPr>
        <w:fldChar w:fldCharType="end"/>
      </w:r>
      <w:r/>
    </w:p>
    <w:p>
      <w:pPr>
        <w:pStyle w:val="674"/>
        <w:spacing w:line="360" w:lineRule="auto"/>
        <w:tabs>
          <w:tab w:val="right" w:pos="8306" w:leader="dot"/>
        </w:tabs>
        <w:rPr>
          <w:rFonts w:ascii="方正仿宋_GBK" w:hAnsi="方正仿宋_GBK" w:eastAsia="方正仿宋_GBK" w:cs="方正仿宋_GBK"/>
          <w:color w:val="auto"/>
          <w:sz w:val="28"/>
          <w:szCs w:val="28"/>
          <w:highlight w:val="none"/>
        </w:rPr>
      </w:pPr>
      <w:r>
        <w:rPr>
          <w:color w:val="auto"/>
          <w:highlight w:val="none"/>
        </w:rPr>
        <w:fldChar w:fldCharType="begin"/>
      </w:r>
      <w:r>
        <w:rPr>
          <w:color w:val="auto"/>
          <w:highlight w:val="none"/>
        </w:rPr>
        <w:instrText xml:space="preserve"> HYPERLINK \l "_Toc21993" </w:instrText>
      </w:r>
      <w:r>
        <w:rPr>
          <w:color w:val="auto"/>
          <w:highlight w:val="none"/>
        </w:rPr>
        <w:fldChar w:fldCharType="separate"/>
      </w:r>
      <w:r>
        <w:rPr>
          <w:rFonts w:hint="eastAsia" w:ascii="方正仿宋_GBK" w:hAnsi="方正仿宋_GBK" w:eastAsia="方正仿宋_GBK" w:cs="方正仿宋_GBK"/>
          <w:bCs/>
          <w:color w:val="auto"/>
          <w:sz w:val="28"/>
          <w:szCs w:val="28"/>
          <w:highlight w:val="none"/>
          <w:shd w:val="clear" w:color="auto" w:fill="ffffff"/>
        </w:rPr>
        <w:t xml:space="preserve">第二部分  投标人须知</w:t>
      </w:r>
      <w:r>
        <w:rPr>
          <w:rFonts w:hint="eastAsia" w:ascii="方正仿宋_GBK" w:hAnsi="方正仿宋_GBK" w:eastAsia="方正仿宋_GBK" w:cs="方正仿宋_GBK"/>
          <w:color w:val="auto"/>
          <w:sz w:val="28"/>
          <w:szCs w:val="28"/>
          <w:highlight w:val="none"/>
        </w:rPr>
        <w:tab/>
      </w:r>
      <w:r>
        <w:rPr>
          <w:rFonts w:hint="eastAsia" w:ascii="方正仿宋_GBK" w:hAnsi="方正仿宋_GBK" w:eastAsia="方正仿宋_GBK" w:cs="方正仿宋_GBK"/>
          <w:color w:val="auto"/>
          <w:sz w:val="28"/>
          <w:szCs w:val="28"/>
          <w:highlight w:val="none"/>
        </w:rPr>
        <w:t xml:space="preserve">4</w:t>
      </w:r>
      <w:r>
        <w:rPr>
          <w:rFonts w:hint="eastAsia" w:ascii="方正仿宋_GBK" w:hAnsi="方正仿宋_GBK" w:eastAsia="方正仿宋_GBK" w:cs="方正仿宋_GBK"/>
          <w:color w:val="auto"/>
          <w:sz w:val="28"/>
          <w:szCs w:val="28"/>
          <w:highlight w:val="none"/>
        </w:rPr>
        <w:fldChar w:fldCharType="end"/>
      </w:r>
      <w:r/>
    </w:p>
    <w:p>
      <w:pPr>
        <w:pStyle w:val="674"/>
        <w:spacing w:line="360" w:lineRule="auto"/>
        <w:tabs>
          <w:tab w:val="right" w:pos="8306" w:leader="dot"/>
        </w:tabs>
        <w:rPr>
          <w:rFonts w:ascii="方正仿宋_GBK" w:hAnsi="方正仿宋_GBK" w:eastAsia="方正仿宋_GBK" w:cs="方正仿宋_GBK"/>
          <w:color w:val="auto"/>
          <w:sz w:val="28"/>
          <w:szCs w:val="28"/>
          <w:highlight w:val="none"/>
        </w:rPr>
      </w:pPr>
      <w:r>
        <w:rPr>
          <w:color w:val="auto"/>
          <w:highlight w:val="none"/>
        </w:rPr>
        <w:fldChar w:fldCharType="begin"/>
      </w:r>
      <w:r>
        <w:rPr>
          <w:color w:val="auto"/>
          <w:highlight w:val="none"/>
        </w:rPr>
        <w:instrText xml:space="preserve"> HYPERLINK \l "_Toc6455" </w:instrText>
      </w:r>
      <w:r>
        <w:rPr>
          <w:color w:val="auto"/>
          <w:highlight w:val="none"/>
        </w:rPr>
        <w:fldChar w:fldCharType="separate"/>
      </w:r>
      <w:r>
        <w:rPr>
          <w:rFonts w:hint="eastAsia" w:ascii="方正仿宋_GBK" w:hAnsi="方正仿宋_GBK" w:eastAsia="方正仿宋_GBK" w:cs="方正仿宋_GBK"/>
          <w:bCs/>
          <w:color w:val="auto"/>
          <w:sz w:val="28"/>
          <w:szCs w:val="28"/>
          <w:highlight w:val="none"/>
          <w:shd w:val="clear" w:color="auto" w:fill="ffffff"/>
        </w:rPr>
        <w:t xml:space="preserve">第三部分  资格审查及评标办法</w:t>
      </w:r>
      <w:r>
        <w:rPr>
          <w:rFonts w:hint="eastAsia" w:ascii="方正仿宋_GBK" w:hAnsi="方正仿宋_GBK" w:eastAsia="方正仿宋_GBK" w:cs="方正仿宋_GBK"/>
          <w:color w:val="auto"/>
          <w:sz w:val="28"/>
          <w:szCs w:val="28"/>
          <w:highlight w:val="none"/>
        </w:rPr>
        <w:tab/>
      </w:r>
      <w:r>
        <w:rPr>
          <w:rFonts w:hint="eastAsia" w:ascii="方正仿宋_GBK" w:hAnsi="方正仿宋_GBK" w:eastAsia="方正仿宋_GBK" w:cs="方正仿宋_GBK"/>
          <w:color w:val="auto"/>
          <w:sz w:val="28"/>
          <w:szCs w:val="28"/>
          <w:highlight w:val="none"/>
        </w:rPr>
        <w:t xml:space="preserve">1</w:t>
      </w:r>
      <w:r>
        <w:rPr>
          <w:rFonts w:hint="eastAsia" w:ascii="方正仿宋_GBK" w:hAnsi="方正仿宋_GBK" w:eastAsia="方正仿宋_GBK" w:cs="方正仿宋_GBK"/>
          <w:color w:val="auto"/>
          <w:sz w:val="28"/>
          <w:szCs w:val="28"/>
          <w:highlight w:val="none"/>
        </w:rPr>
        <w:fldChar w:fldCharType="end"/>
      </w:r>
      <w:r>
        <w:rPr>
          <w:rFonts w:hint="eastAsia" w:ascii="方正仿宋_GBK" w:hAnsi="方正仿宋_GBK" w:eastAsia="方正仿宋_GBK" w:cs="方正仿宋_GBK"/>
          <w:bCs/>
          <w:color w:val="auto"/>
          <w:sz w:val="28"/>
          <w:szCs w:val="28"/>
          <w:highlight w:val="none"/>
          <w:shd w:val="clear" w:color="auto" w:fill="ffffff"/>
        </w:rPr>
        <w:t xml:space="preserve">8</w:t>
      </w:r>
      <w:r/>
    </w:p>
    <w:p>
      <w:pPr>
        <w:pStyle w:val="674"/>
        <w:spacing w:line="360" w:lineRule="auto"/>
        <w:tabs>
          <w:tab w:val="right" w:pos="8306" w:leader="dot"/>
        </w:tabs>
        <w:rPr>
          <w:rFonts w:ascii="方正仿宋_GBK" w:hAnsi="方正仿宋_GBK" w:eastAsia="方正仿宋_GBK" w:cs="方正仿宋_GBK"/>
          <w:color w:val="auto"/>
          <w:sz w:val="28"/>
          <w:szCs w:val="28"/>
          <w:highlight w:val="none"/>
        </w:rPr>
      </w:pPr>
      <w:r>
        <w:rPr>
          <w:color w:val="auto"/>
          <w:highlight w:val="none"/>
        </w:rPr>
        <w:fldChar w:fldCharType="begin"/>
      </w:r>
      <w:r>
        <w:rPr>
          <w:color w:val="auto"/>
          <w:highlight w:val="none"/>
        </w:rPr>
        <w:instrText xml:space="preserve"> HYPERLINK \l "_Toc9629" </w:instrText>
      </w:r>
      <w:r>
        <w:rPr>
          <w:color w:val="auto"/>
          <w:highlight w:val="none"/>
        </w:rPr>
        <w:fldChar w:fldCharType="separate"/>
      </w:r>
      <w:r>
        <w:rPr>
          <w:rFonts w:hint="eastAsia" w:ascii="方正仿宋_GBK" w:hAnsi="方正仿宋_GBK" w:eastAsia="方正仿宋_GBK" w:cs="方正仿宋_GBK"/>
          <w:bCs/>
          <w:color w:val="auto"/>
          <w:sz w:val="28"/>
          <w:szCs w:val="28"/>
          <w:highlight w:val="none"/>
          <w:shd w:val="clear" w:color="auto" w:fill="ffffff"/>
        </w:rPr>
        <w:t xml:space="preserve">第四部分  采购需求</w:t>
      </w:r>
      <w:r>
        <w:rPr>
          <w:rFonts w:hint="eastAsia" w:ascii="方正仿宋_GBK" w:hAnsi="方正仿宋_GBK" w:eastAsia="方正仿宋_GBK" w:cs="方正仿宋_GBK"/>
          <w:color w:val="auto"/>
          <w:sz w:val="28"/>
          <w:szCs w:val="28"/>
          <w:highlight w:val="none"/>
        </w:rPr>
        <w:tab/>
      </w:r>
      <w:r>
        <w:rPr>
          <w:rFonts w:hint="eastAsia" w:ascii="方正仿宋_GBK" w:hAnsi="方正仿宋_GBK" w:eastAsia="方正仿宋_GBK" w:cs="方正仿宋_GBK"/>
          <w:color w:val="auto"/>
          <w:sz w:val="28"/>
          <w:szCs w:val="28"/>
          <w:highlight w:val="none"/>
        </w:rPr>
        <w:t xml:space="preserve">2</w:t>
      </w:r>
      <w:r>
        <w:rPr>
          <w:rFonts w:hint="eastAsia" w:ascii="方正仿宋_GBK" w:hAnsi="方正仿宋_GBK" w:eastAsia="方正仿宋_GBK" w:cs="方正仿宋_GBK"/>
          <w:color w:val="auto"/>
          <w:sz w:val="28"/>
          <w:szCs w:val="28"/>
          <w:highlight w:val="none"/>
        </w:rPr>
        <w:fldChar w:fldCharType="end"/>
      </w:r>
      <w:r>
        <w:rPr>
          <w:rFonts w:hint="eastAsia" w:ascii="方正仿宋_GBK" w:hAnsi="方正仿宋_GBK" w:eastAsia="方正仿宋_GBK" w:cs="方正仿宋_GBK"/>
          <w:bCs/>
          <w:color w:val="auto"/>
          <w:sz w:val="28"/>
          <w:szCs w:val="28"/>
          <w:highlight w:val="none"/>
          <w:shd w:val="clear" w:color="auto" w:fill="ffffff"/>
        </w:rPr>
        <w:t xml:space="preserve">2</w:t>
      </w:r>
      <w:r/>
    </w:p>
    <w:p>
      <w:pPr>
        <w:pStyle w:val="674"/>
        <w:spacing w:line="360" w:lineRule="auto"/>
        <w:tabs>
          <w:tab w:val="right" w:pos="8306" w:leader="dot"/>
        </w:tabs>
        <w:rPr>
          <w:rFonts w:ascii="方正仿宋_GBK" w:hAnsi="方正仿宋_GBK" w:eastAsia="方正仿宋_GBK" w:cs="方正仿宋_GBK"/>
          <w:color w:val="auto"/>
          <w:sz w:val="28"/>
          <w:szCs w:val="28"/>
          <w:highlight w:val="none"/>
        </w:rPr>
      </w:pPr>
      <w:r>
        <w:rPr>
          <w:color w:val="auto"/>
          <w:highlight w:val="none"/>
        </w:rPr>
        <w:fldChar w:fldCharType="begin"/>
      </w:r>
      <w:r>
        <w:rPr>
          <w:color w:val="auto"/>
          <w:highlight w:val="none"/>
        </w:rPr>
        <w:instrText xml:space="preserve"> HYPERLINK \l "_Toc7021" </w:instrText>
      </w:r>
      <w:r>
        <w:rPr>
          <w:color w:val="auto"/>
          <w:highlight w:val="none"/>
        </w:rPr>
        <w:fldChar w:fldCharType="separate"/>
      </w:r>
      <w:r>
        <w:rPr>
          <w:rFonts w:hint="eastAsia" w:ascii="方正仿宋_GBK" w:hAnsi="方正仿宋_GBK" w:eastAsia="方正仿宋_GBK" w:cs="方正仿宋_GBK"/>
          <w:bCs/>
          <w:color w:val="auto"/>
          <w:sz w:val="28"/>
          <w:szCs w:val="28"/>
          <w:highlight w:val="none"/>
          <w:shd w:val="clear" w:color="auto" w:fill="ffffff"/>
        </w:rPr>
        <w:t xml:space="preserve">第五部分  合同格式及条款</w:t>
      </w:r>
      <w:r>
        <w:rPr>
          <w:rFonts w:hint="eastAsia" w:ascii="方正仿宋_GBK" w:hAnsi="方正仿宋_GBK" w:eastAsia="方正仿宋_GBK" w:cs="方正仿宋_GBK"/>
          <w:color w:val="auto"/>
          <w:sz w:val="28"/>
          <w:szCs w:val="28"/>
          <w:highlight w:val="none"/>
        </w:rPr>
        <w:tab/>
      </w:r>
      <w:r>
        <w:rPr>
          <w:rFonts w:hint="eastAsia" w:ascii="方正仿宋_GBK" w:hAnsi="方正仿宋_GBK" w:eastAsia="方正仿宋_GBK" w:cs="方正仿宋_GBK"/>
          <w:color w:val="auto"/>
          <w:sz w:val="28"/>
          <w:szCs w:val="28"/>
          <w:highlight w:val="none"/>
        </w:rPr>
        <w:t xml:space="preserve">3</w:t>
      </w:r>
      <w:r>
        <w:rPr>
          <w:rFonts w:hint="eastAsia" w:ascii="方正仿宋_GBK" w:hAnsi="方正仿宋_GBK" w:eastAsia="方正仿宋_GBK" w:cs="方正仿宋_GBK"/>
          <w:color w:val="auto"/>
          <w:sz w:val="28"/>
          <w:szCs w:val="28"/>
          <w:highlight w:val="none"/>
        </w:rPr>
        <w:fldChar w:fldCharType="end"/>
      </w:r>
      <w:r>
        <w:rPr>
          <w:rFonts w:hint="eastAsia" w:ascii="方正仿宋_GBK" w:hAnsi="方正仿宋_GBK" w:eastAsia="方正仿宋_GBK" w:cs="方正仿宋_GBK"/>
          <w:bCs/>
          <w:color w:val="auto"/>
          <w:sz w:val="28"/>
          <w:szCs w:val="28"/>
          <w:highlight w:val="none"/>
          <w:shd w:val="clear" w:color="auto" w:fill="ffffff"/>
        </w:rPr>
        <w:t xml:space="preserve">4</w:t>
      </w:r>
      <w:r/>
    </w:p>
    <w:p>
      <w:pPr>
        <w:pStyle w:val="674"/>
        <w:spacing w:line="360" w:lineRule="auto"/>
        <w:tabs>
          <w:tab w:val="right" w:pos="8306" w:leader="dot"/>
        </w:tabs>
        <w:rPr>
          <w:rFonts w:ascii="方正仿宋_GBK" w:hAnsi="方正仿宋_GBK" w:eastAsia="方正仿宋_GBK" w:cs="方正仿宋_GBK"/>
          <w:color w:val="auto"/>
          <w:sz w:val="28"/>
          <w:szCs w:val="28"/>
          <w:highlight w:val="none"/>
        </w:rPr>
      </w:pPr>
      <w:r>
        <w:rPr>
          <w:color w:val="auto"/>
          <w:highlight w:val="none"/>
        </w:rPr>
        <w:fldChar w:fldCharType="begin"/>
      </w:r>
      <w:r>
        <w:rPr>
          <w:color w:val="auto"/>
          <w:highlight w:val="none"/>
        </w:rPr>
        <w:instrText xml:space="preserve"> HYPERLINK \l "_Toc20257" </w:instrText>
      </w:r>
      <w:r>
        <w:rPr>
          <w:color w:val="auto"/>
          <w:highlight w:val="none"/>
        </w:rPr>
        <w:fldChar w:fldCharType="separate"/>
      </w:r>
      <w:r>
        <w:rPr>
          <w:rFonts w:hint="eastAsia" w:ascii="方正仿宋_GBK" w:hAnsi="方正仿宋_GBK" w:eastAsia="方正仿宋_GBK" w:cs="方正仿宋_GBK"/>
          <w:bCs/>
          <w:color w:val="auto"/>
          <w:sz w:val="28"/>
          <w:szCs w:val="28"/>
          <w:highlight w:val="none"/>
          <w:shd w:val="clear" w:color="auto" w:fill="ffffff"/>
        </w:rPr>
        <w:t xml:space="preserve">第六部分  投标文件格式</w:t>
      </w:r>
      <w:r>
        <w:rPr>
          <w:rFonts w:hint="eastAsia" w:ascii="方正仿宋_GBK" w:hAnsi="方正仿宋_GBK" w:eastAsia="方正仿宋_GBK" w:cs="方正仿宋_GBK"/>
          <w:color w:val="auto"/>
          <w:sz w:val="28"/>
          <w:szCs w:val="28"/>
          <w:highlight w:val="none"/>
        </w:rPr>
        <w:tab/>
      </w:r>
      <w:r>
        <w:rPr>
          <w:rFonts w:hint="eastAsia" w:ascii="方正仿宋_GBK" w:hAnsi="方正仿宋_GBK" w:eastAsia="方正仿宋_GBK" w:cs="方正仿宋_GBK"/>
          <w:color w:val="auto"/>
          <w:sz w:val="28"/>
          <w:szCs w:val="28"/>
          <w:highlight w:val="none"/>
        </w:rPr>
        <w:t xml:space="preserve">4</w:t>
      </w:r>
      <w:r>
        <w:rPr>
          <w:rFonts w:hint="eastAsia" w:ascii="方正仿宋_GBK" w:hAnsi="方正仿宋_GBK" w:eastAsia="方正仿宋_GBK" w:cs="方正仿宋_GBK"/>
          <w:color w:val="auto"/>
          <w:sz w:val="28"/>
          <w:szCs w:val="28"/>
          <w:highlight w:val="none"/>
        </w:rPr>
        <w:fldChar w:fldCharType="end"/>
      </w:r>
      <w:r>
        <w:rPr>
          <w:rFonts w:hint="eastAsia" w:ascii="方正仿宋_GBK" w:hAnsi="方正仿宋_GBK" w:eastAsia="方正仿宋_GBK" w:cs="方正仿宋_GBK"/>
          <w:bCs/>
          <w:color w:val="auto"/>
          <w:sz w:val="28"/>
          <w:szCs w:val="28"/>
          <w:highlight w:val="none"/>
          <w:shd w:val="clear" w:color="auto" w:fill="ffffff"/>
        </w:rPr>
        <w:t xml:space="preserve">1</w:t>
      </w:r>
      <w:r/>
    </w:p>
    <w:p>
      <w:pPr>
        <w:pStyle w:val="863"/>
        <w:jc w:val="center"/>
        <w:keepLines/>
        <w:keepNext/>
        <w:pageBreakBefore/>
        <w:spacing w:before="0" w:beforeAutospacing="0" w:after="0" w:afterAutospacing="0" w:line="440" w:lineRule="exact"/>
        <w:rPr>
          <w:rFonts w:ascii="方正仿宋_GBK" w:hAnsi="方正仿宋_GBK" w:eastAsia="方正仿宋_GBK" w:cs="方正仿宋_GBK"/>
          <w:bCs/>
          <w:color w:val="auto"/>
          <w:sz w:val="28"/>
          <w:szCs w:val="28"/>
          <w:highlight w:val="none"/>
          <w:shd w:val="clear" w:color="auto" w:fill="ffffff"/>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rPr>
          <w:rFonts w:ascii="方正仿宋_GBK" w:hAnsi="方正仿宋_GBK" w:eastAsia="方正仿宋_GBK" w:cs="方正仿宋_GBK"/>
          <w:bCs/>
          <w:color w:val="auto"/>
          <w:sz w:val="28"/>
          <w:szCs w:val="28"/>
          <w:highlight w:val="none"/>
          <w:shd w:val="clear" w:color="auto" w:fill="ffffff"/>
        </w:rPr>
      </w:r>
      <w:r/>
    </w:p>
    <w:p>
      <w:pPr>
        <w:pStyle w:val="863"/>
        <w:jc w:val="center"/>
        <w:keepLines/>
        <w:keepNext/>
        <w:pageBreakBefore/>
        <w:spacing w:before="0" w:beforeAutospacing="0" w:after="0" w:afterAutospacing="0" w:line="440" w:lineRule="exact"/>
        <w:rPr>
          <w:rFonts w:ascii="方正仿宋_GBK" w:hAnsi="方正仿宋_GBK" w:eastAsia="方正仿宋_GBK" w:cs="方正仿宋_GBK"/>
          <w:b/>
          <w:bCs/>
          <w:color w:val="auto"/>
          <w:sz w:val="30"/>
          <w:szCs w:val="30"/>
          <w:highlight w:val="none"/>
        </w:rPr>
        <w:outlineLvl w:val="0"/>
      </w:pPr>
      <w:r>
        <w:rPr>
          <w:rFonts w:hint="eastAsia" w:ascii="方正仿宋_GBK" w:hAnsi="方正仿宋_GBK" w:eastAsia="方正仿宋_GBK" w:cs="方正仿宋_GBK"/>
          <w:bCs/>
          <w:color w:val="auto"/>
          <w:sz w:val="28"/>
          <w:szCs w:val="28"/>
          <w:highlight w:val="none"/>
          <w:shd w:val="clear" w:color="auto" w:fill="ffffff"/>
        </w:rPr>
        <w:fldChar w:fldCharType="end"/>
      </w:r>
      <w:bookmarkEnd w:id="18"/>
      <w:r/>
      <w:bookmarkEnd w:id="19"/>
      <w:r/>
      <w:bookmarkEnd w:id="20"/>
      <w:r/>
      <w:bookmarkStart w:id="21" w:name="_Toc21993"/>
      <w:r>
        <w:rPr>
          <w:rFonts w:hint="eastAsia" w:ascii="方正仿宋_GBK" w:hAnsi="方正仿宋_GBK" w:eastAsia="方正仿宋_GBK" w:cs="方正仿宋_GBK"/>
          <w:b/>
          <w:bCs/>
          <w:color w:val="auto"/>
          <w:sz w:val="30"/>
          <w:szCs w:val="30"/>
          <w:highlight w:val="none"/>
        </w:rPr>
        <w:t xml:space="preserve">第一部分  投标邀请函</w:t>
      </w:r>
      <w:bookmarkEnd w:id="21"/>
      <w:r/>
      <w:r/>
    </w:p>
    <w:p>
      <w:pPr>
        <w:pStyle w:val="863"/>
        <w:ind w:firstLine="560"/>
        <w:jc w:val="both"/>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受</w:t>
      </w:r>
      <w:r>
        <w:rPr>
          <w:rFonts w:hint="eastAsia" w:ascii="宋体" w:hAnsi="宋体" w:cs="宋体"/>
          <w:color w:val="auto"/>
          <w:highlight w:val="none"/>
          <w:u w:val="single"/>
        </w:rPr>
        <w:t xml:space="preserve">泗洪县公安局</w:t>
      </w:r>
      <w:r>
        <w:rPr>
          <w:rFonts w:hint="eastAsia" w:ascii="宋体" w:hAnsi="宋体" w:cs="宋体"/>
          <w:color w:val="auto"/>
          <w:highlight w:val="none"/>
        </w:rPr>
        <w:t xml:space="preserve">的委托，</w:t>
      </w:r>
      <w:r>
        <w:rPr>
          <w:rFonts w:hint="eastAsia" w:ascii="宋体" w:hAnsi="宋体" w:cs="宋体"/>
          <w:color w:val="auto"/>
          <w:highlight w:val="none"/>
          <w:u w:val="single"/>
        </w:rPr>
        <w:t xml:space="preserve">泗洪县公共资源交易中心</w:t>
      </w:r>
      <w:r>
        <w:rPr>
          <w:rFonts w:hint="eastAsia" w:ascii="宋体" w:hAnsi="宋体" w:cs="宋体"/>
          <w:color w:val="auto"/>
          <w:highlight w:val="none"/>
        </w:rPr>
        <w:t xml:space="preserve">就</w:t>
      </w:r>
      <w:r>
        <w:rPr>
          <w:rFonts w:hint="eastAsia" w:ascii="宋体" w:hAnsi="宋体" w:cs="宋体"/>
          <w:color w:val="auto"/>
          <w:highlight w:val="none"/>
          <w:u w:val="single"/>
        </w:rPr>
        <w:t xml:space="preserve">雪亮工程社会面联网项目（一标段）（</w:t>
      </w:r>
      <w:r>
        <w:rPr>
          <w:rFonts w:hint="eastAsia" w:ascii="宋体" w:hAnsi="宋体" w:cs="宋体"/>
          <w:color w:val="auto"/>
          <w:highlight w:val="none"/>
          <w:u w:val="single"/>
          <w:lang w:val="en-US" w:eastAsia="zh-CN"/>
        </w:rPr>
        <w:t xml:space="preserve">JSZC-321324-JZCG-G2025-0024</w:t>
      </w:r>
      <w:r>
        <w:rPr>
          <w:rFonts w:hint="eastAsia" w:ascii="宋体" w:hAnsi="宋体" w:cs="宋体"/>
          <w:color w:val="auto"/>
          <w:highlight w:val="none"/>
          <w:u w:val="single"/>
        </w:rPr>
        <w:t xml:space="preserve">）</w:t>
      </w:r>
      <w:r>
        <w:rPr>
          <w:rFonts w:hint="eastAsia" w:ascii="宋体" w:hAnsi="宋体" w:cs="宋体"/>
          <w:color w:val="auto"/>
          <w:highlight w:val="none"/>
        </w:rPr>
        <w:t xml:space="preserve">公开招标采购，欢迎符合条件的投标人投标。</w:t>
      </w:r>
      <w:r/>
    </w:p>
    <w:p>
      <w:pPr>
        <w:pStyle w:val="863"/>
        <w:ind w:firstLine="480"/>
        <w:jc w:val="both"/>
        <w:spacing w:before="0" w:beforeAutospacing="0" w:after="0" w:afterAutospacing="0" w:line="440" w:lineRule="exact"/>
        <w:rPr>
          <w:rFonts w:ascii="宋体" w:hAnsi="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highlight w:val="none"/>
        </w:rPr>
        <w:t xml:space="preserve">项目概况</w:t>
      </w:r>
      <w:r/>
    </w:p>
    <w:p>
      <w:pPr>
        <w:pStyle w:val="863"/>
        <w:ind w:firstLine="482"/>
        <w:jc w:val="both"/>
        <w:spacing w:before="0" w:beforeAutospacing="0" w:after="0" w:afterAutospacing="0" w:line="440" w:lineRule="exact"/>
        <w:rPr>
          <w:rFonts w:ascii="宋体" w:hAnsi="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highlight w:val="none"/>
          <w:u w:val="none"/>
        </w:rPr>
        <w:t xml:space="preserve">雪亮工程社会面联网项目（一标段）JSZC-321324-JZCG-G2025-0024招标项目的潜在投标人应在招标文件提供的时间内，通过“苏采云”系统（网址：http://jszfcg.jsczt.cn/）,使用</w:t>
      </w:r>
      <w:r>
        <w:rPr>
          <w:rFonts w:hint="eastAsia" w:ascii="宋体" w:hAnsi="宋体" w:cs="宋体"/>
          <w:color w:val="auto"/>
          <w:highlight w:val="none"/>
        </w:rPr>
        <w:t xml:space="preserve">CA锁登录系统后，找到本项目获取招标文件，并于</w:t>
      </w:r>
      <w:r>
        <w:rPr>
          <w:rFonts w:hint="eastAsia" w:ascii="宋体" w:hAnsi="宋体" w:cs="宋体"/>
          <w:color w:val="auto"/>
          <w:highlight w:val="none"/>
          <w:u w:val="single"/>
        </w:rPr>
        <w:t xml:space="preserve"> 2025年</w:t>
      </w:r>
      <w:r>
        <w:rPr>
          <w:rFonts w:hint="eastAsia" w:ascii="宋体" w:hAnsi="宋体" w:cs="宋体"/>
          <w:color w:val="auto"/>
          <w:highlight w:val="none"/>
          <w:u w:val="single"/>
          <w:lang w:val="en-US" w:eastAsia="zh-CN"/>
        </w:rPr>
        <w:t xml:space="preserve">12</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10</w:t>
      </w:r>
      <w:r>
        <w:rPr>
          <w:rFonts w:hint="eastAsia" w:ascii="宋体" w:hAnsi="宋体" w:cs="宋体"/>
          <w:color w:val="auto"/>
          <w:highlight w:val="none"/>
          <w:u w:val="single"/>
        </w:rPr>
        <w:t xml:space="preserve">日</w:t>
      </w:r>
      <w:r>
        <w:rPr>
          <w:rFonts w:hint="eastAsia" w:ascii="宋体" w:hAnsi="宋体" w:cs="宋体"/>
          <w:color w:val="auto"/>
          <w:highlight w:val="none"/>
          <w:u w:val="single"/>
          <w:lang w:val="en-US" w:eastAsia="zh-CN"/>
        </w:rPr>
        <w:t xml:space="preserve">0</w:t>
      </w:r>
      <w:r>
        <w:rPr>
          <w:rFonts w:hint="eastAsia" w:ascii="宋体" w:hAnsi="宋体" w:cs="宋体"/>
          <w:color w:val="auto"/>
          <w:highlight w:val="none"/>
          <w:u w:val="single"/>
        </w:rPr>
        <w:t xml:space="preserve">9点00分（</w:t>
      </w:r>
      <w:r>
        <w:rPr>
          <w:rFonts w:hint="eastAsia" w:ascii="宋体" w:hAnsi="宋体" w:cs="宋体"/>
          <w:color w:val="auto"/>
          <w:highlight w:val="none"/>
        </w:rPr>
        <w:t xml:space="preserve">北京时间）前递交投标文件。</w:t>
      </w:r>
      <w:r/>
    </w:p>
    <w:p>
      <w:pPr>
        <w:pStyle w:val="854"/>
        <w:ind w:firstLine="467"/>
        <w:jc w:val="both"/>
        <w:keepLines/>
        <w:keepNext/>
        <w:spacing w:before="0" w:beforeAutospacing="0" w:after="0" w:afterAutospacing="0" w:line="440" w:lineRule="exact"/>
        <w:rPr>
          <w:rFonts w:hint="default" w:cs="宋体"/>
          <w:color w:val="auto"/>
          <w:sz w:val="24"/>
          <w:szCs w:val="24"/>
          <w:highlight w:val="none"/>
        </w:rPr>
      </w:pPr>
      <w:r/>
      <w:bookmarkStart w:id="22" w:name="_Toc28359002"/>
      <w:r/>
      <w:bookmarkStart w:id="23" w:name="_Hlk24379207"/>
      <w:r/>
      <w:bookmarkStart w:id="24" w:name="_Toc35393621"/>
      <w:r/>
      <w:bookmarkStart w:id="25" w:name="_Toc38985263"/>
      <w:r/>
      <w:bookmarkStart w:id="26" w:name="_Toc176774444"/>
      <w:r/>
      <w:bookmarkStart w:id="27" w:name="_Toc28359079"/>
      <w:r/>
      <w:bookmarkStart w:id="28" w:name="_Toc35393790"/>
      <w:r>
        <w:rPr>
          <w:rFonts w:cs="宋体"/>
          <w:color w:val="auto"/>
          <w:sz w:val="24"/>
          <w:szCs w:val="24"/>
          <w:highlight w:val="none"/>
        </w:rPr>
        <w:t xml:space="preserve">一、项目基本情况</w:t>
      </w:r>
      <w:bookmarkEnd w:id="22"/>
      <w:r/>
      <w:bookmarkEnd w:id="23"/>
      <w:r/>
      <w:bookmarkEnd w:id="24"/>
      <w:r/>
      <w:bookmarkEnd w:id="25"/>
      <w:r/>
      <w:bookmarkEnd w:id="26"/>
      <w:r/>
      <w:bookmarkEnd w:id="27"/>
      <w:r/>
      <w:bookmarkEnd w:id="28"/>
      <w:r/>
      <w:r/>
    </w:p>
    <w:p>
      <w:pPr>
        <w:pStyle w:val="863"/>
        <w:ind w:firstLine="480"/>
        <w:jc w:val="both"/>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1.项目编号：JSZC-321324-JZCG-G2025-0024</w:t>
      </w:r>
      <w:r/>
    </w:p>
    <w:p>
      <w:pPr>
        <w:pStyle w:val="863"/>
        <w:ind w:firstLine="480"/>
        <w:jc w:val="both"/>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2.项目名称：雪亮工程社会面联网项目（一标段）</w:t>
      </w:r>
      <w:r/>
    </w:p>
    <w:p>
      <w:pPr>
        <w:pStyle w:val="863"/>
        <w:ind w:firstLine="480"/>
        <w:jc w:val="both"/>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3.预算金额：158.0225万元</w:t>
      </w:r>
      <w:r/>
    </w:p>
    <w:p>
      <w:pPr>
        <w:pStyle w:val="863"/>
        <w:ind w:firstLine="480"/>
        <w:jc w:val="both"/>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4.本项目设定最高限价，最高限价为158.0225万元；高于最高限价的，按无效投标处理。</w:t>
      </w:r>
      <w:r/>
    </w:p>
    <w:p>
      <w:pPr>
        <w:pStyle w:val="863"/>
        <w:ind w:firstLine="480"/>
        <w:jc w:val="both"/>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5.采购需求（简介）：本项目建设旨在通过构建"全域覆盖、全网共享、全时可用、全程可控"的智能化视频监控体系，全面提升泗洪县社会治安防控能力。建设内容主要为前端监控设备、联网网关、后台视频云存储扩容、平台授权扩容、交换机；前端相机和网关安装维护等；包含前端设备电力供应；全县部分重点单位、重点部位的监控联网，含联网通信线路租赁等，具体详见第四章采购需求。</w:t>
      </w:r>
      <w:r/>
    </w:p>
    <w:p>
      <w:pPr>
        <w:pStyle w:val="863"/>
        <w:ind w:firstLine="480"/>
        <w:jc w:val="both"/>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6.合同履行期限：采购合同签订后180日内供货安装调试完毕并交付使用，租赁服务期三年。租赁服务期满后硬件资产移交泗洪县公安局。</w:t>
      </w:r>
      <w:r/>
    </w:p>
    <w:p>
      <w:pPr>
        <w:pStyle w:val="863"/>
        <w:ind w:firstLine="480"/>
        <w:jc w:val="both"/>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7.本项目</w:t>
      </w:r>
      <w:r>
        <w:rPr>
          <w:rFonts w:hint="eastAsia" w:ascii="宋体" w:hAnsi="宋体" w:cs="宋体"/>
          <w:color w:val="auto"/>
          <w:highlight w:val="none"/>
          <w:u w:val="single"/>
        </w:rPr>
        <w:t xml:space="preserve"> 不接受 </w:t>
      </w:r>
      <w:r>
        <w:rPr>
          <w:rFonts w:hint="eastAsia" w:ascii="宋体" w:hAnsi="宋体" w:cs="宋体"/>
          <w:color w:val="auto"/>
          <w:highlight w:val="none"/>
        </w:rPr>
        <w:t xml:space="preserve">联合体投标。</w:t>
      </w:r>
      <w:r/>
    </w:p>
    <w:p>
      <w:pPr>
        <w:pStyle w:val="854"/>
        <w:ind w:firstLine="467"/>
        <w:jc w:val="both"/>
        <w:keepLines/>
        <w:keepNext/>
        <w:spacing w:before="0" w:beforeAutospacing="0" w:after="0" w:afterAutospacing="0" w:line="440" w:lineRule="exact"/>
        <w:rPr>
          <w:rFonts w:hint="default" w:cs="宋体"/>
          <w:color w:val="auto"/>
          <w:sz w:val="24"/>
          <w:szCs w:val="24"/>
          <w:highlight w:val="none"/>
        </w:rPr>
      </w:pPr>
      <w:r/>
      <w:bookmarkStart w:id="29" w:name="_Toc35393622"/>
      <w:r/>
      <w:bookmarkStart w:id="30" w:name="_Toc28359080"/>
      <w:r/>
      <w:bookmarkStart w:id="31" w:name="_Toc35393791"/>
      <w:r/>
      <w:bookmarkStart w:id="32" w:name="_Toc28359003"/>
      <w:r/>
      <w:bookmarkStart w:id="33" w:name="_Toc38985264"/>
      <w:r/>
      <w:bookmarkStart w:id="34" w:name="_Toc176774445"/>
      <w:r>
        <w:rPr>
          <w:rFonts w:cs="宋体"/>
          <w:color w:val="auto"/>
          <w:sz w:val="24"/>
          <w:szCs w:val="24"/>
          <w:highlight w:val="none"/>
        </w:rPr>
        <w:t xml:space="preserve">二、申请人的资格要求：</w:t>
      </w:r>
      <w:bookmarkEnd w:id="29"/>
      <w:r/>
      <w:bookmarkEnd w:id="30"/>
      <w:r/>
      <w:bookmarkEnd w:id="31"/>
      <w:r/>
      <w:bookmarkEnd w:id="32"/>
      <w:r/>
      <w:bookmarkEnd w:id="33"/>
      <w:r/>
      <w:bookmarkEnd w:id="34"/>
      <w:r/>
      <w:r/>
    </w:p>
    <w:p>
      <w:pPr>
        <w:pStyle w:val="863"/>
        <w:ind w:firstLine="480"/>
        <w:jc w:val="both"/>
        <w:spacing w:before="0" w:beforeAutospacing="0" w:after="0" w:afterAutospacing="0" w:line="440" w:lineRule="exact"/>
        <w:rPr>
          <w:rFonts w:ascii="宋体" w:hAnsi="宋体" w:cs="宋体"/>
          <w:color w:val="auto"/>
          <w:highlight w:val="none"/>
        </w:rPr>
      </w:pPr>
      <w:r/>
      <w:bookmarkStart w:id="35" w:name="_Toc38985265"/>
      <w:r/>
      <w:bookmarkStart w:id="36" w:name="_Toc28359081"/>
      <w:r/>
      <w:bookmarkStart w:id="37" w:name="_Toc35393623"/>
      <w:r/>
      <w:bookmarkStart w:id="38" w:name="_Toc28359004"/>
      <w:r/>
      <w:bookmarkStart w:id="39" w:name="_Toc35393792"/>
      <w:r>
        <w:rPr>
          <w:rFonts w:hint="eastAsia" w:ascii="宋体" w:hAnsi="宋体" w:cs="宋体"/>
          <w:color w:val="auto"/>
          <w:highlight w:val="none"/>
        </w:rPr>
        <w:t xml:space="preserve">（一）通用资格要求</w:t>
      </w:r>
      <w:bookmarkEnd w:id="35"/>
      <w:r/>
      <w:bookmarkEnd w:id="36"/>
      <w:r/>
      <w:bookmarkEnd w:id="37"/>
      <w:r/>
      <w:bookmarkEnd w:id="38"/>
      <w:r/>
      <w:bookmarkEnd w:id="39"/>
      <w:r/>
      <w:r/>
    </w:p>
    <w:p>
      <w:pPr>
        <w:pStyle w:val="863"/>
        <w:ind w:firstLine="560"/>
        <w:jc w:val="both"/>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1.</w:t>
      </w:r>
      <w:bookmarkStart w:id="40" w:name="OLE_LINK2"/>
      <w:r>
        <w:rPr>
          <w:rFonts w:hint="eastAsia" w:ascii="宋体" w:hAnsi="宋体" w:cs="宋体"/>
          <w:color w:val="auto"/>
          <w:highlight w:val="none"/>
        </w:rPr>
        <w:t xml:space="preserve">具备《中华人民共和国政府采购法》第二十二条第一款规定的6项条件（按要求提供</w:t>
      </w:r>
      <w:bookmarkStart w:id="41" w:name="OLE_LINK3"/>
      <w:r>
        <w:rPr>
          <w:rFonts w:hint="eastAsia" w:ascii="宋体" w:hAnsi="宋体" w:cs="宋体"/>
          <w:color w:val="auto"/>
          <w:highlight w:val="none"/>
        </w:rPr>
        <w:t xml:space="preserve">投标声明及承诺函</w:t>
      </w:r>
      <w:bookmarkEnd w:id="41"/>
      <w:r>
        <w:rPr>
          <w:rFonts w:hint="eastAsia" w:ascii="宋体" w:hAnsi="宋体" w:cs="宋体"/>
          <w:color w:val="auto"/>
          <w:highlight w:val="none"/>
        </w:rPr>
        <w:t xml:space="preserve">）。</w:t>
      </w:r>
      <w:bookmarkEnd w:id="40"/>
      <w:r/>
      <w:r/>
    </w:p>
    <w:p>
      <w:pPr>
        <w:pStyle w:val="863"/>
        <w:ind w:firstLine="560"/>
        <w:jc w:val="both"/>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 </w:t>
      </w:r>
      <w:r/>
    </w:p>
    <w:p>
      <w:pPr>
        <w:pStyle w:val="863"/>
        <w:ind w:firstLine="480"/>
        <w:jc w:val="both"/>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3.落实政府采购政策需满足的资格要求：本项目为专门面向中小企业采购的项目，供应商须为中小微企业、监狱企业、残疾人福利性单位（须提供《中小企业或残疾人福利性单位声明函,或监狱企业证明文件》）。非中、小、微型企业参与本项目投标，将作无效标处理。</w:t>
      </w:r>
      <w:r/>
    </w:p>
    <w:p>
      <w:pPr>
        <w:pStyle w:val="863"/>
        <w:ind w:firstLine="480"/>
        <w:jc w:val="both"/>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（二）本项目的特定资格要求：无。</w:t>
      </w:r>
      <w:bookmarkStart w:id="42" w:name="_Toc176774446"/>
      <w:r/>
      <w:r/>
    </w:p>
    <w:p>
      <w:pPr>
        <w:pStyle w:val="863"/>
        <w:jc w:val="both"/>
        <w:spacing w:before="0" w:beforeAutospacing="0" w:after="0" w:afterAutospacing="0" w:line="440" w:lineRule="exact"/>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42"/>
      <w:r/>
      <w:bookmarkStart w:id="43" w:name="_Toc176774447"/>
      <w:r/>
      <w:r/>
    </w:p>
    <w:p>
      <w:pPr>
        <w:pStyle w:val="863"/>
        <w:ind w:firstLine="560"/>
        <w:jc w:val="both"/>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时间：自招标文件公告发布之日起5个工作日</w:t>
      </w:r>
      <w:r/>
    </w:p>
    <w:p>
      <w:pPr>
        <w:pStyle w:val="863"/>
        <w:ind w:firstLine="560"/>
        <w:jc w:val="both"/>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地点：招标文件提供的时间内，通过“苏采云”系统（网址：http://jszfcg.jsczt.cn/）,使用CA锁登录系统后，找到本项目。</w:t>
      </w:r>
      <w:r/>
    </w:p>
    <w:p>
      <w:pPr>
        <w:pStyle w:val="863"/>
        <w:ind w:firstLine="560"/>
        <w:jc w:val="both"/>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方式：投标人应在招标文件提供的时间内，通过“苏采云”系统（网址： http://jszfcg.jsczt.cn/），使用CA锁登录系统后，找到本项目获取招标文件（后缀名为“.kedt”）。</w:t>
      </w:r>
      <w:r/>
    </w:p>
    <w:p>
      <w:pPr>
        <w:pStyle w:val="854"/>
        <w:ind w:firstLine="467"/>
        <w:jc w:val="both"/>
        <w:keepLines/>
        <w:keepNext/>
        <w:spacing w:before="0" w:beforeAutospacing="0" w:after="0" w:afterAutospacing="0" w:line="440" w:lineRule="exact"/>
        <w:rPr>
          <w:rFonts w:hint="default" w:cs="宋体"/>
          <w:b w:val="0"/>
          <w:bCs w:val="0"/>
          <w:color w:val="auto"/>
          <w:sz w:val="24"/>
          <w:szCs w:val="24"/>
          <w:highlight w:val="none"/>
        </w:rPr>
      </w:pPr>
      <w:r>
        <w:rPr>
          <w:rFonts w:cs="宋体"/>
          <w:b w:val="0"/>
          <w:bCs w:val="0"/>
          <w:color w:val="auto"/>
          <w:sz w:val="24"/>
          <w:szCs w:val="24"/>
          <w:highlight w:val="none"/>
        </w:rPr>
        <w:t xml:space="preserve">售价：0.00元</w:t>
      </w:r>
      <w:r/>
    </w:p>
    <w:p>
      <w:pPr>
        <w:pStyle w:val="854"/>
        <w:ind w:firstLine="467"/>
        <w:jc w:val="both"/>
        <w:keepLines/>
        <w:keepNext/>
        <w:spacing w:before="0" w:beforeAutospacing="0" w:after="0" w:afterAutospacing="0" w:line="440" w:lineRule="exact"/>
        <w:rPr>
          <w:rFonts w:hint="default" w:cs="宋体"/>
          <w:b w:val="0"/>
          <w:bCs w:val="0"/>
          <w:color w:val="auto"/>
          <w:sz w:val="24"/>
          <w:szCs w:val="24"/>
          <w:highlight w:val="none"/>
        </w:rPr>
      </w:pPr>
      <w:r>
        <w:rPr>
          <w:rFonts w:cs="宋体"/>
          <w:b w:val="0"/>
          <w:bCs w:val="0"/>
          <w:color w:val="auto"/>
          <w:sz w:val="24"/>
          <w:szCs w:val="24"/>
          <w:highlight w:val="none"/>
        </w:rPr>
        <w:t xml:space="preserve">本项目共分一个采购包。投标人参与多个采购包投标的，应按采购包分别获取招标文件。投标人未按要求获取招标文件，后果自负（其投标文件不予接受）。</w:t>
      </w:r>
      <w:r/>
    </w:p>
    <w:p>
      <w:pPr>
        <w:pStyle w:val="854"/>
        <w:ind w:firstLine="467"/>
        <w:jc w:val="both"/>
        <w:keepLines/>
        <w:keepNext/>
        <w:spacing w:before="0" w:beforeAutospacing="0" w:after="0" w:afterAutospacing="0" w:line="440" w:lineRule="exact"/>
        <w:rPr>
          <w:rFonts w:hint="default" w:cs="宋体"/>
          <w:color w:val="auto"/>
          <w:sz w:val="24"/>
          <w:szCs w:val="24"/>
          <w:highlight w:val="none"/>
        </w:rPr>
      </w:pPr>
      <w:r>
        <w:rPr>
          <w:rFonts w:cs="宋体"/>
          <w:color w:val="auto"/>
          <w:sz w:val="24"/>
          <w:szCs w:val="24"/>
          <w:highlight w:val="none"/>
        </w:rPr>
        <w:t xml:space="preserve">四、提交投标文件截止时间、开标时间和地点</w:t>
      </w:r>
      <w:bookmarkEnd w:id="43"/>
      <w:r/>
      <w:r/>
    </w:p>
    <w:p>
      <w:pPr>
        <w:pStyle w:val="863"/>
        <w:ind w:firstLine="560"/>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1.提交投标文件截止时间、开标时间：</w:t>
      </w:r>
      <w:r>
        <w:rPr>
          <w:rFonts w:hint="eastAsia" w:ascii="宋体" w:hAnsi="宋体" w:cs="宋体"/>
          <w:color w:val="auto"/>
          <w:highlight w:val="none"/>
          <w:u w:val="single"/>
        </w:rPr>
        <w:t xml:space="preserve">2025年</w:t>
      </w:r>
      <w:r>
        <w:rPr>
          <w:rFonts w:hint="eastAsia" w:ascii="宋体" w:hAnsi="宋体" w:cs="宋体"/>
          <w:color w:val="auto"/>
          <w:highlight w:val="none"/>
          <w:u w:val="single"/>
          <w:lang w:val="en-US" w:eastAsia="zh-CN"/>
        </w:rPr>
        <w:t xml:space="preserve">12</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10</w:t>
      </w:r>
      <w:r>
        <w:rPr>
          <w:rFonts w:hint="eastAsia" w:ascii="宋体" w:hAnsi="宋体" w:cs="宋体"/>
          <w:color w:val="auto"/>
          <w:highlight w:val="none"/>
          <w:u w:val="single"/>
        </w:rPr>
        <w:t xml:space="preserve">日9点00分</w:t>
      </w:r>
      <w:r>
        <w:rPr>
          <w:rFonts w:hint="eastAsia" w:ascii="宋体" w:hAnsi="宋体" w:cs="宋体"/>
          <w:color w:val="auto"/>
          <w:highlight w:val="none"/>
        </w:rPr>
        <w:t xml:space="preserve">（北京时间）</w:t>
      </w:r>
      <w:r/>
    </w:p>
    <w:p>
      <w:pPr>
        <w:pStyle w:val="863"/>
        <w:ind w:firstLine="560"/>
        <w:jc w:val="both"/>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2.地点：“苏采云”政府采购交易系统网上开标大厅。</w:t>
      </w:r>
      <w:r/>
    </w:p>
    <w:p>
      <w:pPr>
        <w:pStyle w:val="854"/>
        <w:ind w:firstLine="467"/>
        <w:jc w:val="both"/>
        <w:keepLines/>
        <w:keepNext/>
        <w:spacing w:before="0" w:beforeAutospacing="0" w:after="0" w:afterAutospacing="0" w:line="440" w:lineRule="exact"/>
        <w:rPr>
          <w:rFonts w:hint="default" w:cs="宋体"/>
          <w:color w:val="auto"/>
          <w:sz w:val="24"/>
          <w:szCs w:val="24"/>
          <w:highlight w:val="none"/>
        </w:rPr>
      </w:pPr>
      <w:r/>
      <w:bookmarkStart w:id="44" w:name="_Toc28359084"/>
      <w:r/>
      <w:bookmarkStart w:id="45" w:name="_Toc35393794"/>
      <w:r/>
      <w:bookmarkStart w:id="46" w:name="_Toc176774448"/>
      <w:r/>
      <w:bookmarkStart w:id="47" w:name="_Toc38985267"/>
      <w:r/>
      <w:bookmarkStart w:id="48" w:name="_Toc28359007"/>
      <w:r/>
      <w:bookmarkStart w:id="49" w:name="_Toc35393625"/>
      <w:r>
        <w:rPr>
          <w:rFonts w:cs="宋体"/>
          <w:color w:val="auto"/>
          <w:sz w:val="24"/>
          <w:szCs w:val="24"/>
          <w:highlight w:val="none"/>
        </w:rPr>
        <w:t xml:space="preserve">五、公告期限</w:t>
      </w:r>
      <w:bookmarkEnd w:id="44"/>
      <w:r/>
      <w:bookmarkEnd w:id="45"/>
      <w:r/>
      <w:bookmarkEnd w:id="46"/>
      <w:r/>
      <w:bookmarkEnd w:id="47"/>
      <w:r/>
      <w:bookmarkEnd w:id="48"/>
      <w:r/>
      <w:bookmarkEnd w:id="49"/>
      <w:r/>
      <w:r/>
    </w:p>
    <w:p>
      <w:pPr>
        <w:pStyle w:val="854"/>
        <w:ind w:firstLine="467"/>
        <w:jc w:val="both"/>
        <w:keepLines/>
        <w:keepNext/>
        <w:spacing w:before="0" w:beforeAutospacing="0" w:after="0" w:afterAutospacing="0" w:line="440" w:lineRule="exact"/>
        <w:rPr>
          <w:rFonts w:hint="default" w:cs="宋体"/>
          <w:b w:val="0"/>
          <w:bCs w:val="0"/>
          <w:color w:val="auto"/>
          <w:sz w:val="24"/>
          <w:szCs w:val="24"/>
          <w:highlight w:val="none"/>
        </w:rPr>
      </w:pPr>
      <w:r/>
      <w:bookmarkStart w:id="50" w:name="_Toc176774449"/>
      <w:r>
        <w:rPr>
          <w:rFonts w:cs="宋体"/>
          <w:b w:val="0"/>
          <w:bCs w:val="0"/>
          <w:color w:val="auto"/>
          <w:sz w:val="24"/>
          <w:szCs w:val="24"/>
          <w:highlight w:val="none"/>
        </w:rPr>
        <w:t xml:space="preserve">自本公告发布之日起5个工作日。</w:t>
      </w:r>
      <w:r/>
    </w:p>
    <w:p>
      <w:pPr>
        <w:pStyle w:val="854"/>
        <w:ind w:firstLine="467"/>
        <w:jc w:val="both"/>
        <w:keepLines/>
        <w:keepNext/>
        <w:spacing w:before="0" w:beforeAutospacing="0" w:after="0" w:afterAutospacing="0" w:line="440" w:lineRule="exact"/>
        <w:rPr>
          <w:rFonts w:hint="default" w:cs="宋体"/>
          <w:color w:val="auto"/>
          <w:sz w:val="24"/>
          <w:szCs w:val="24"/>
          <w:highlight w:val="none"/>
        </w:rPr>
      </w:pPr>
      <w:r>
        <w:rPr>
          <w:rFonts w:cs="宋体"/>
          <w:color w:val="auto"/>
          <w:sz w:val="24"/>
          <w:szCs w:val="24"/>
          <w:highlight w:val="none"/>
        </w:rPr>
        <w:t xml:space="preserve">六、其他补充事宜</w:t>
      </w:r>
      <w:bookmarkEnd w:id="50"/>
      <w:r/>
      <w:r/>
    </w:p>
    <w:p>
      <w:pPr>
        <w:pStyle w:val="863"/>
        <w:ind w:firstLine="480"/>
        <w:jc w:val="both"/>
        <w:spacing w:before="0" w:beforeAutospacing="0" w:after="0" w:afterAutospacing="0" w:line="440" w:lineRule="exact"/>
        <w:rPr>
          <w:rFonts w:ascii="宋体" w:hAnsi="宋体" w:cs="宋体"/>
          <w:color w:val="auto"/>
          <w:highlight w:val="none"/>
        </w:rPr>
      </w:pPr>
      <w:r/>
      <w:bookmarkStart w:id="51" w:name="_Toc28359008"/>
      <w:r/>
      <w:bookmarkStart w:id="52" w:name="_Toc35393627"/>
      <w:r/>
      <w:bookmarkStart w:id="53" w:name="_Toc38985269"/>
      <w:r/>
      <w:bookmarkStart w:id="54" w:name="_Toc35393796"/>
      <w:r/>
      <w:bookmarkStart w:id="55" w:name="EB64e1f522fd8c43fcb4d3ba471386b3e7"/>
      <w:r/>
      <w:bookmarkStart w:id="56" w:name="_Toc28359085"/>
      <w:r>
        <w:rPr>
          <w:rFonts w:hint="eastAsia" w:ascii="宋体" w:hAnsi="宋体" w:cs="宋体"/>
          <w:color w:val="auto"/>
          <w:highlight w:val="none"/>
          <w:shd w:val="clear" w:color="auto" w:fill="ffffff"/>
        </w:rPr>
        <w:t xml:space="preserve">1.财政部门监督电话：</w:t>
      </w:r>
      <w:r>
        <w:rPr>
          <w:rFonts w:hint="eastAsia" w:ascii="宋体" w:hAnsi="宋体" w:cs="宋体"/>
          <w:color w:val="auto"/>
          <w:highlight w:val="none"/>
        </w:rPr>
        <w:t xml:space="preserve">0527-88359233</w:t>
      </w:r>
      <w:r>
        <w:rPr>
          <w:rFonts w:hint="eastAsia" w:ascii="宋体" w:hAnsi="宋体" w:cs="宋体"/>
          <w:color w:val="auto"/>
          <w:highlight w:val="none"/>
          <w:shd w:val="clear" w:color="auto" w:fill="ffffff"/>
        </w:rPr>
        <w:t xml:space="preserve">。</w:t>
      </w:r>
      <w:bookmarkEnd w:id="51"/>
      <w:r/>
      <w:bookmarkEnd w:id="52"/>
      <w:r/>
      <w:bookmarkEnd w:id="53"/>
      <w:r/>
      <w:bookmarkEnd w:id="54"/>
      <w:r/>
      <w:bookmarkEnd w:id="55"/>
      <w:r/>
      <w:bookmarkEnd w:id="56"/>
      <w:r/>
      <w:r/>
    </w:p>
    <w:p>
      <w:pPr>
        <w:pStyle w:val="863"/>
        <w:ind w:firstLine="480"/>
        <w:jc w:val="both"/>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shd w:val="clear" w:color="auto" w:fill="ffffff"/>
        </w:rPr>
        <w:t xml:space="preserve">2.“CA”数字证书办理：“苏采云”系统目前仅支持“苏采云”系统下的意源CA。省内各地区办理的“苏采云”系统下的意源CA全省通用。宿迁地区CA数字证书办理联系方式：18762803891。</w:t>
      </w:r>
      <w:r/>
    </w:p>
    <w:p>
      <w:pPr>
        <w:pStyle w:val="863"/>
        <w:ind w:firstLine="480"/>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shd w:val="clear" w:color="auto" w:fill="ffffff"/>
        </w:rPr>
        <w:t xml:space="preserve">3.宿迁地区“苏采云”技术支持客服电话：0527-84225125、0519-86722806。</w:t>
      </w:r>
      <w:r/>
    </w:p>
    <w:p>
      <w:pPr>
        <w:pStyle w:val="863"/>
        <w:ind w:firstLine="482"/>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shd w:val="clear" w:color="auto" w:fill="ffffff"/>
        </w:rPr>
        <w:t xml:space="preserve">4.投标人通过苏采云系统参与政府采购项目，相关操作手册详见链接：http://www.ccgp-jiangsu.gov.cn/jiangsu/zlxz/ee/ee3a4bc5a3454aa2b0d9312230633ce9.html。</w:t>
      </w:r>
      <w:r/>
    </w:p>
    <w:p>
      <w:pPr>
        <w:pStyle w:val="863"/>
        <w:ind w:firstLine="480"/>
        <w:jc w:val="both"/>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shd w:val="clear" w:color="auto" w:fill="ffffff"/>
        </w:rPr>
        <w:t xml:space="preserve">5.现场勘察及答疑：本项目不组织集中勘察及答疑，投标人如对采购需求有疑问，请咨询采购单位联系人。 </w:t>
      </w:r>
      <w:r/>
    </w:p>
    <w:p>
      <w:pPr>
        <w:pStyle w:val="854"/>
        <w:ind w:firstLine="467"/>
        <w:jc w:val="both"/>
        <w:keepLines/>
        <w:keepNext/>
        <w:spacing w:before="0" w:beforeAutospacing="0" w:after="0" w:afterAutospacing="0" w:line="440" w:lineRule="exact"/>
        <w:rPr>
          <w:rFonts w:hint="default" w:cs="宋体"/>
          <w:color w:val="auto"/>
          <w:sz w:val="24"/>
          <w:szCs w:val="24"/>
          <w:highlight w:val="none"/>
        </w:rPr>
      </w:pPr>
      <w:r/>
      <w:bookmarkStart w:id="57" w:name="_Toc176774450"/>
      <w:r>
        <w:rPr>
          <w:rFonts w:cs="宋体"/>
          <w:color w:val="auto"/>
          <w:sz w:val="24"/>
          <w:szCs w:val="24"/>
          <w:highlight w:val="none"/>
        </w:rPr>
        <w:t xml:space="preserve">七、本次招标联系方式</w:t>
      </w:r>
      <w:bookmarkEnd w:id="57"/>
      <w:r/>
      <w:r/>
    </w:p>
    <w:p>
      <w:pPr>
        <w:pStyle w:val="863"/>
        <w:spacing w:before="0" w:beforeAutospacing="0" w:after="0" w:afterAutospacing="0" w:line="440" w:lineRule="exact"/>
        <w:widowControl/>
        <w:rPr>
          <w:rFonts w:ascii="宋体" w:hAnsi="宋体" w:cs="宋体"/>
          <w:color w:val="auto"/>
          <w:highlight w:val="none"/>
        </w:rPr>
      </w:pPr>
      <w:r>
        <w:rPr>
          <w:rFonts w:hint="eastAsia" w:ascii="宋体" w:hAnsi="宋体" w:cs="宋体"/>
          <w:color w:val="auto"/>
          <w:highlight w:val="none"/>
        </w:rPr>
        <w:t xml:space="preserve">  1.采购人信息</w:t>
      </w:r>
      <w:r/>
    </w:p>
    <w:p>
      <w:pPr>
        <w:pStyle w:val="863"/>
        <w:ind w:firstLine="480"/>
        <w:jc w:val="both"/>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名称：</w:t>
      </w:r>
      <w:r>
        <w:rPr>
          <w:rFonts w:hint="eastAsia" w:ascii="宋体" w:hAnsi="宋体" w:cs="宋体"/>
          <w:color w:val="auto"/>
          <w:highlight w:val="none"/>
          <w:shd w:val="clear" w:color="auto" w:fill="ffffff"/>
        </w:rPr>
        <w:t xml:space="preserve">泗洪县公安局 </w:t>
      </w:r>
      <w:r/>
    </w:p>
    <w:p>
      <w:pPr>
        <w:pStyle w:val="863"/>
        <w:ind w:firstLine="480"/>
        <w:jc w:val="both"/>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地址：泗洪县淮河东路6号</w:t>
      </w:r>
      <w:r/>
    </w:p>
    <w:p>
      <w:pPr>
        <w:pStyle w:val="863"/>
        <w:ind w:firstLine="480"/>
        <w:jc w:val="both"/>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联系人：陈言兵</w:t>
      </w:r>
      <w:r/>
    </w:p>
    <w:p>
      <w:pPr>
        <w:pStyle w:val="863"/>
        <w:ind w:firstLine="480"/>
        <w:jc w:val="both"/>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联系方式：15950613231　</w:t>
      </w:r>
      <w:r/>
    </w:p>
    <w:p>
      <w:pPr>
        <w:pStyle w:val="863"/>
        <w:ind w:firstLine="480"/>
        <w:spacing w:before="0" w:beforeAutospacing="0" w:after="0" w:afterAutospacing="0" w:line="440" w:lineRule="exact"/>
        <w:widowControl/>
        <w:rPr>
          <w:rFonts w:ascii="宋体" w:hAnsi="宋体" w:cs="宋体"/>
          <w:color w:val="auto"/>
          <w:highlight w:val="none"/>
        </w:rPr>
      </w:pPr>
      <w:r/>
      <w:bookmarkStart w:id="58" w:name="_Toc28359086"/>
      <w:r/>
      <w:bookmarkStart w:id="59" w:name="_Toc28359009"/>
      <w:r>
        <w:rPr>
          <w:rFonts w:hint="eastAsia" w:ascii="宋体" w:hAnsi="宋体" w:cs="宋体"/>
          <w:color w:val="auto"/>
          <w:highlight w:val="none"/>
        </w:rPr>
        <w:t xml:space="preserve">2.</w:t>
      </w:r>
      <w:bookmarkEnd w:id="58"/>
      <w:r/>
      <w:bookmarkEnd w:id="59"/>
      <w:r>
        <w:rPr>
          <w:rFonts w:hint="eastAsia" w:ascii="宋体" w:hAnsi="宋体" w:cs="宋体"/>
          <w:color w:val="auto"/>
          <w:highlight w:val="none"/>
        </w:rPr>
        <w:t xml:space="preserve">采购代理机构信息</w:t>
      </w:r>
      <w:r/>
    </w:p>
    <w:p>
      <w:pPr>
        <w:pStyle w:val="863"/>
        <w:ind w:firstLine="480"/>
        <w:jc w:val="both"/>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名称：</w:t>
      </w:r>
      <w:r>
        <w:rPr>
          <w:rFonts w:hint="eastAsia" w:ascii="宋体" w:hAnsi="宋体" w:cs="宋体"/>
          <w:color w:val="auto"/>
          <w:highlight w:val="none"/>
          <w:shd w:val="clear" w:color="auto" w:fill="ffffff"/>
        </w:rPr>
        <w:t xml:space="preserve">泗</w:t>
      </w:r>
      <w:r>
        <w:rPr>
          <w:rFonts w:hint="eastAsia" w:ascii="宋体" w:hAnsi="宋体" w:cs="宋体"/>
          <w:color w:val="auto"/>
          <w:highlight w:val="none"/>
        </w:rPr>
        <w:t xml:space="preserve">洪县公共资源交易中心</w:t>
      </w:r>
      <w:r>
        <w:rPr>
          <w:rFonts w:hint="eastAsia" w:ascii="宋体" w:hAnsi="宋体" w:cs="宋体"/>
          <w:color w:val="auto"/>
          <w:highlight w:val="none"/>
          <w:shd w:val="clear" w:color="auto" w:fill="ffffff"/>
        </w:rPr>
        <w:t xml:space="preserve"> </w:t>
      </w:r>
      <w:r/>
    </w:p>
    <w:p>
      <w:pPr>
        <w:pStyle w:val="863"/>
        <w:ind w:firstLine="480"/>
        <w:jc w:val="both"/>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地址：泗洪县仁和路5号</w:t>
      </w:r>
      <w:r/>
    </w:p>
    <w:p>
      <w:pPr>
        <w:pStyle w:val="863"/>
        <w:ind w:firstLine="480"/>
        <w:jc w:val="both"/>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联系人：朱楠</w:t>
      </w:r>
      <w:r/>
    </w:p>
    <w:p>
      <w:pPr>
        <w:pStyle w:val="863"/>
        <w:ind w:firstLine="480"/>
        <w:jc w:val="both"/>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联系方式：18851398356</w:t>
      </w:r>
      <w:r/>
    </w:p>
    <w:p>
      <w:pPr>
        <w:pStyle w:val="854"/>
        <w:ind w:firstLine="467"/>
        <w:jc w:val="both"/>
        <w:keepLines/>
        <w:keepNext/>
        <w:spacing w:before="0" w:beforeAutospacing="0" w:after="0" w:afterAutospacing="0" w:line="440" w:lineRule="exact"/>
        <w:rPr>
          <w:rFonts w:hint="default" w:cs="宋体"/>
          <w:color w:val="auto"/>
          <w:sz w:val="24"/>
          <w:szCs w:val="24"/>
          <w:highlight w:val="none"/>
        </w:rPr>
      </w:pPr>
      <w:r/>
      <w:bookmarkStart w:id="60" w:name="_Toc176774451"/>
      <w:r>
        <w:rPr>
          <w:rFonts w:cs="宋体"/>
          <w:color w:val="auto"/>
          <w:sz w:val="24"/>
          <w:szCs w:val="24"/>
          <w:highlight w:val="none"/>
        </w:rPr>
        <w:t xml:space="preserve">八、其他</w:t>
      </w:r>
      <w:bookmarkEnd w:id="60"/>
      <w:r/>
      <w:r/>
    </w:p>
    <w:p>
      <w:pPr>
        <w:pStyle w:val="863"/>
        <w:ind w:firstLine="480"/>
        <w:spacing w:before="0" w:beforeAutospacing="0" w:after="0" w:afterAutospacing="0" w:line="440" w:lineRule="exac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1.有关本次招标的事项若存在变动或修改，敬请及时关注“宿迁市政府采购网”等平台更正公告。</w:t>
      </w:r>
      <w:r/>
    </w:p>
    <w:p>
      <w:pPr>
        <w:pStyle w:val="863"/>
        <w:ind w:firstLine="480"/>
        <w:spacing w:before="0" w:beforeAutospacing="0" w:after="0" w:afterAutospacing="0" w:line="440" w:lineRule="exac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2.本次招标不收取投标保证金。</w:t>
      </w:r>
      <w:r/>
    </w:p>
    <w:p>
      <w:pPr>
        <w:pStyle w:val="863"/>
        <w:ind w:firstLine="420"/>
        <w:jc w:val="center"/>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shd w:val="clear" w:color="auto" w:fill="ffffff"/>
        </w:rPr>
        <w:br w:type="page" w:clear="all"/>
      </w:r>
      <w:r>
        <w:rPr>
          <w:rFonts w:hint="eastAsia" w:ascii="方正仿宋_GBK" w:hAnsi="方正仿宋_GBK" w:eastAsia="方正仿宋_GBK" w:cs="方正仿宋_GBK"/>
          <w:b/>
          <w:bCs/>
          <w:color w:val="auto"/>
          <w:sz w:val="30"/>
          <w:szCs w:val="30"/>
          <w:highlight w:val="none"/>
        </w:rPr>
        <w:t xml:space="preserve">第二部分  投标人须知</w:t>
      </w:r>
      <w:r/>
    </w:p>
    <w:p>
      <w:pPr>
        <w:pStyle w:val="863"/>
        <w:jc w:val="both"/>
        <w:spacing w:before="0" w:beforeAutospacing="0" w:after="0" w:afterAutospacing="0" w:line="440" w:lineRule="exact"/>
        <w:rPr>
          <w:rFonts w:ascii="宋体" w:hAnsi="宋体" w:cs="宋体"/>
          <w:b/>
          <w:bCs/>
          <w:color w:val="auto"/>
          <w:highlight w:val="none"/>
          <w:shd w:val="clear" w:color="auto" w:fill="ffffff"/>
        </w:rPr>
      </w:pPr>
      <w:r>
        <w:rPr>
          <w:rFonts w:hint="eastAsia" w:ascii="宋体" w:hAnsi="宋体" w:cs="宋体"/>
          <w:b/>
          <w:bCs/>
          <w:color w:val="auto"/>
          <w:highlight w:val="none"/>
        </w:rPr>
        <w:t xml:space="preserve">投标人须知前附表：</w:t>
      </w:r>
      <w:bookmarkStart w:id="61" w:name="_Toc81575192"/>
      <w:r/>
      <w:bookmarkEnd w:id="61"/>
      <w:r/>
      <w:bookmarkStart w:id="62" w:name="_Toc8239"/>
      <w:r/>
      <w:bookmarkEnd w:id="62"/>
      <w:r/>
      <w:r/>
    </w:p>
    <w:tbl>
      <w:tblPr>
        <w:tblStyle w:val="661"/>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617"/>
        </w:trPr>
        <w:tc>
          <w:tcPr>
            <w:tcW w:w="858" w:type="dxa"/>
            <w:vAlign w:val="center"/>
            <w:textDirection w:val="lrTb"/>
            <w:noWrap/>
          </w:tcPr>
          <w:p>
            <w:pPr>
              <w:jc w:val="center"/>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772" w:type="dxa"/>
            <w:vAlign w:val="center"/>
            <w:textDirection w:val="lrTb"/>
            <w:noWrap/>
          </w:tcPr>
          <w:p>
            <w:pPr>
              <w:jc w:val="center"/>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内容</w:t>
            </w:r>
            <w:r/>
          </w:p>
        </w:tc>
        <w:tc>
          <w:tcPr>
            <w:tcW w:w="6579" w:type="dxa"/>
            <w:vAlign w:val="center"/>
            <w:textDirection w:val="lrTb"/>
            <w:noWrap/>
          </w:tcPr>
          <w:p>
            <w:pPr>
              <w:jc w:val="center"/>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说明及要求</w:t>
            </w:r>
            <w:r/>
          </w:p>
        </w:tc>
      </w:tr>
      <w:tr>
        <w:trPr/>
        <w:tc>
          <w:tcPr>
            <w:tcW w:w="858" w:type="dxa"/>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1</w:t>
            </w:r>
            <w:r/>
          </w:p>
        </w:tc>
        <w:tc>
          <w:tcPr>
            <w:tcW w:w="1772" w:type="dxa"/>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项目属性</w:t>
            </w:r>
            <w:r/>
          </w:p>
        </w:tc>
        <w:tc>
          <w:tcPr>
            <w:tcW w:w="6579" w:type="dxa"/>
            <w:vAlign w:val="center"/>
            <w:textDirection w:val="lrTb"/>
            <w:noWrap/>
          </w:tcPr>
          <w:p>
            <w:pPr>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本项目属性按以下第</w:t>
            </w:r>
            <w:r>
              <w:rPr>
                <w:rFonts w:hint="eastAsia" w:ascii="宋体" w:hAnsi="宋体" w:cs="宋体"/>
                <w:color w:val="auto"/>
                <w:sz w:val="24"/>
                <w:highlight w:val="none"/>
                <w:u w:val="single"/>
              </w:rPr>
              <w:t xml:space="preserve">2</w:t>
            </w:r>
            <w:r>
              <w:rPr>
                <w:rFonts w:hint="eastAsia" w:ascii="宋体" w:hAnsi="宋体" w:cs="宋体"/>
                <w:color w:val="auto"/>
                <w:sz w:val="24"/>
                <w:highlight w:val="none"/>
              </w:rPr>
              <w:t xml:space="preserve">种确定：</w:t>
            </w:r>
            <w:r/>
          </w:p>
          <w:p>
            <w:pPr>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1.货物采购；2.服务采购；3.工程采购。</w:t>
            </w:r>
            <w:r/>
          </w:p>
        </w:tc>
      </w:tr>
      <w:tr>
        <w:trPr>
          <w:trHeight w:val="680"/>
        </w:trPr>
        <w:tc>
          <w:tcPr>
            <w:tcW w:w="858" w:type="dxa"/>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2</w:t>
            </w:r>
            <w:r/>
          </w:p>
        </w:tc>
        <w:tc>
          <w:tcPr>
            <w:tcW w:w="1772" w:type="dxa"/>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投标有效期</w:t>
            </w:r>
            <w:r/>
          </w:p>
        </w:tc>
        <w:tc>
          <w:tcPr>
            <w:tcW w:w="6579" w:type="dxa"/>
            <w:vAlign w:val="center"/>
            <w:textDirection w:val="lrTb"/>
            <w:noWrap/>
          </w:tcPr>
          <w:p>
            <w:pPr>
              <w:jc w:val="left"/>
              <w:spacing w:line="440" w:lineRule="exact"/>
              <w:rPr>
                <w:rFonts w:ascii="宋体" w:hAnsi="宋体" w:cs="宋体"/>
                <w:color w:val="auto"/>
                <w:sz w:val="24"/>
                <w:highlight w:val="none"/>
              </w:rPr>
            </w:pPr>
            <w:r/>
            <w:bookmarkStart w:id="63" w:name="EBd40b5fb42f2944a3b45e579ce3941f02"/>
            <w:r/>
            <w:bookmarkEnd w:id="63"/>
            <w:r>
              <w:rPr>
                <w:rFonts w:hint="eastAsia" w:ascii="宋体" w:hAnsi="宋体" w:cs="宋体"/>
                <w:color w:val="auto"/>
                <w:sz w:val="24"/>
                <w:highlight w:val="none"/>
              </w:rPr>
              <w:t xml:space="preserve">60日（从提交投标文件截止之日起算）</w:t>
            </w:r>
            <w:r/>
          </w:p>
        </w:tc>
      </w:tr>
      <w:tr>
        <w:trPr>
          <w:trHeight w:val="680"/>
        </w:trPr>
        <w:tc>
          <w:tcPr>
            <w:tcW w:w="858" w:type="dxa"/>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3</w:t>
            </w:r>
            <w:r/>
          </w:p>
        </w:tc>
        <w:tc>
          <w:tcPr>
            <w:tcW w:w="1772" w:type="dxa"/>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投标文件份数</w:t>
            </w:r>
            <w:r/>
          </w:p>
        </w:tc>
        <w:tc>
          <w:tcPr>
            <w:tcW w:w="6579" w:type="dxa"/>
            <w:vAlign w:val="center"/>
            <w:textDirection w:val="lrTb"/>
            <w:noWrap/>
          </w:tcPr>
          <w:p>
            <w:pPr>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提交加密电子投标文件</w:t>
            </w:r>
            <w:r>
              <w:rPr>
                <w:rFonts w:hint="eastAsia" w:ascii="宋体" w:hAnsi="宋体" w:cs="宋体"/>
                <w:color w:val="auto"/>
                <w:sz w:val="24"/>
                <w:highlight w:val="none"/>
                <w:u w:val="single"/>
              </w:rPr>
              <w:t xml:space="preserve">1</w:t>
            </w:r>
            <w:r>
              <w:rPr>
                <w:rFonts w:hint="eastAsia" w:ascii="宋体" w:hAnsi="宋体" w:cs="宋体"/>
                <w:color w:val="auto"/>
                <w:sz w:val="24"/>
                <w:highlight w:val="none"/>
              </w:rPr>
              <w:t xml:space="preserve">份。</w:t>
            </w:r>
            <w:r/>
          </w:p>
        </w:tc>
      </w:tr>
      <w:tr>
        <w:trPr/>
        <w:tc>
          <w:tcPr>
            <w:tcW w:w="858" w:type="dxa"/>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4</w:t>
            </w:r>
            <w:r/>
          </w:p>
        </w:tc>
        <w:tc>
          <w:tcPr>
            <w:tcW w:w="1772" w:type="dxa"/>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开标</w:t>
            </w:r>
            <w:r/>
          </w:p>
        </w:tc>
        <w:tc>
          <w:tcPr>
            <w:tcW w:w="6579" w:type="dxa"/>
            <w:vAlign w:val="center"/>
            <w:textDirection w:val="lrTb"/>
            <w:noWrap/>
          </w:tcPr>
          <w:p>
            <w:pPr>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“苏采云”政府采购交易系统网上开标大厅进行不见面开标。</w:t>
            </w:r>
            <w:r/>
          </w:p>
        </w:tc>
      </w:tr>
      <w:tr>
        <w:trPr>
          <w:trHeight w:val="90"/>
        </w:trPr>
        <w:tc>
          <w:tcPr>
            <w:tcW w:w="858" w:type="dxa"/>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5</w:t>
            </w:r>
            <w:r/>
          </w:p>
        </w:tc>
        <w:tc>
          <w:tcPr>
            <w:tcW w:w="1772" w:type="dxa"/>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进口产品</w:t>
            </w:r>
            <w:r/>
          </w:p>
        </w:tc>
        <w:tc>
          <w:tcPr>
            <w:tcW w:w="6579" w:type="dxa"/>
            <w:vAlign w:val="center"/>
            <w:textDirection w:val="lrTb"/>
            <w:noWrap/>
          </w:tcPr>
          <w:p>
            <w:pPr>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按以下第</w:t>
            </w:r>
            <w:r>
              <w:rPr>
                <w:rFonts w:hint="eastAsia" w:ascii="宋体" w:hAnsi="宋体" w:cs="宋体"/>
                <w:color w:val="auto"/>
                <w:sz w:val="24"/>
                <w:highlight w:val="none"/>
                <w:u w:val="single"/>
              </w:rPr>
              <w:t xml:space="preserve">2</w:t>
            </w:r>
            <w:r>
              <w:rPr>
                <w:rFonts w:hint="eastAsia" w:ascii="宋体" w:hAnsi="宋体" w:cs="宋体"/>
                <w:color w:val="auto"/>
                <w:sz w:val="24"/>
                <w:highlight w:val="none"/>
              </w:rPr>
              <w:t xml:space="preserve">种方式确定：</w:t>
            </w:r>
            <w:r/>
          </w:p>
          <w:p>
            <w:pPr>
              <w:jc w:val="left"/>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1.接受进口产品。应当符合《政府采购进口产品管理办法》（财库〔2007〕119号）、《关于政府采购进口产品管理有关问题的通知》（财办库〔2008〕248号）等相关规定；</w:t>
            </w:r>
            <w:r/>
          </w:p>
          <w:p>
            <w:pPr>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2.不接受进口产品。</w:t>
            </w:r>
            <w:r/>
          </w:p>
        </w:tc>
      </w:tr>
      <w:tr>
        <w:trPr/>
        <w:tc>
          <w:tcPr>
            <w:tcW w:w="858" w:type="dxa"/>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6</w:t>
            </w:r>
            <w:r/>
          </w:p>
        </w:tc>
        <w:tc>
          <w:tcPr>
            <w:tcW w:w="1772" w:type="dxa"/>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评标办法</w:t>
            </w:r>
            <w:r/>
          </w:p>
        </w:tc>
        <w:tc>
          <w:tcPr>
            <w:tcW w:w="6579" w:type="dxa"/>
            <w:vAlign w:val="center"/>
            <w:textDirection w:val="lrTb"/>
            <w:noWrap/>
          </w:tcPr>
          <w:p>
            <w:pPr>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具体评标办法详见招标文件第三章。</w:t>
            </w:r>
            <w:r/>
          </w:p>
          <w:p>
            <w:pPr>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评标委员会依据招标文件规定的评标办法和标准推荐</w:t>
            </w:r>
            <w:r>
              <w:rPr>
                <w:rFonts w:hint="eastAsia" w:ascii="宋体" w:hAnsi="宋体" w:cs="宋体"/>
                <w:color w:val="auto"/>
                <w:sz w:val="24"/>
                <w:highlight w:val="none"/>
                <w:u w:val="single"/>
              </w:rPr>
              <w:t xml:space="preserve">3</w:t>
            </w:r>
            <w:r>
              <w:rPr>
                <w:rFonts w:hint="eastAsia" w:ascii="宋体" w:hAnsi="宋体" w:cs="宋体"/>
                <w:color w:val="auto"/>
                <w:sz w:val="24"/>
                <w:highlight w:val="none"/>
              </w:rPr>
              <w:t xml:space="preserve">名中标候选人。</w:t>
            </w:r>
            <w:r/>
          </w:p>
        </w:tc>
      </w:tr>
      <w:tr>
        <w:trPr/>
        <w:tc>
          <w:tcPr>
            <w:tcW w:w="858" w:type="dxa"/>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7</w:t>
            </w:r>
            <w:r/>
          </w:p>
        </w:tc>
        <w:tc>
          <w:tcPr>
            <w:tcW w:w="1772" w:type="dxa"/>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确定中标人</w:t>
            </w:r>
            <w:r/>
          </w:p>
        </w:tc>
        <w:tc>
          <w:tcPr>
            <w:tcW w:w="6579" w:type="dxa"/>
            <w:vAlign w:val="center"/>
            <w:textDirection w:val="lrTb"/>
            <w:noWrap/>
          </w:tcPr>
          <w:p>
            <w:pPr>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按以下第</w:t>
            </w:r>
            <w:r>
              <w:rPr>
                <w:rFonts w:hint="eastAsia" w:ascii="宋体" w:hAnsi="宋体" w:cs="宋体"/>
                <w:color w:val="auto"/>
                <w:sz w:val="24"/>
                <w:highlight w:val="none"/>
                <w:u w:val="single"/>
              </w:rPr>
              <w:t xml:space="preserve">1</w:t>
            </w:r>
            <w:r>
              <w:rPr>
                <w:rFonts w:hint="eastAsia" w:ascii="宋体" w:hAnsi="宋体" w:cs="宋体"/>
                <w:color w:val="auto"/>
                <w:sz w:val="24"/>
                <w:highlight w:val="none"/>
              </w:rPr>
              <w:t xml:space="preserve">种方式确定中标人：</w:t>
            </w:r>
            <w:r/>
          </w:p>
          <w:p>
            <w:pPr>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1.采购人按规定在评标委员会推荐的中标候选人中确定中标人；</w:t>
            </w:r>
            <w:r/>
          </w:p>
          <w:p>
            <w:pPr>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2.采购人授权评标委员会直接确定中标人。</w:t>
            </w:r>
            <w:r/>
          </w:p>
        </w:tc>
      </w:tr>
      <w:tr>
        <w:trPr/>
        <w:tc>
          <w:tcPr>
            <w:tcW w:w="858" w:type="dxa"/>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8</w:t>
            </w:r>
            <w:r/>
          </w:p>
        </w:tc>
        <w:tc>
          <w:tcPr>
            <w:tcW w:w="1772" w:type="dxa"/>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分包要求</w:t>
            </w:r>
            <w:r/>
          </w:p>
        </w:tc>
        <w:tc>
          <w:tcPr>
            <w:tcW w:w="6579" w:type="dxa"/>
            <w:vAlign w:val="center"/>
            <w:textDirection w:val="lrTb"/>
            <w:noWrap/>
          </w:tcPr>
          <w:p>
            <w:pPr>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本项目的非主体、非关键性工作是否允许分包按以下第</w:t>
            </w:r>
            <w:r>
              <w:rPr>
                <w:rFonts w:hint="eastAsia" w:ascii="宋体" w:hAnsi="宋体" w:cs="宋体"/>
                <w:color w:val="auto"/>
                <w:sz w:val="24"/>
                <w:highlight w:val="none"/>
                <w:u w:val="single"/>
              </w:rPr>
              <w:t xml:space="preserve">2</w:t>
            </w:r>
            <w:r>
              <w:rPr>
                <w:rFonts w:hint="eastAsia" w:ascii="宋体" w:hAnsi="宋体" w:cs="宋体"/>
                <w:color w:val="auto"/>
                <w:sz w:val="24"/>
                <w:highlight w:val="none"/>
              </w:rPr>
              <w:t xml:space="preserve">种方式确定：</w:t>
            </w:r>
            <w:r/>
          </w:p>
          <w:p>
            <w:pPr>
              <w:jc w:val="left"/>
              <w:spacing w:line="440" w:lineRule="exact"/>
              <w:rPr>
                <w:rFonts w:ascii="宋体" w:hAnsi="宋体" w:cs="宋体"/>
                <w:color w:val="auto"/>
                <w:sz w:val="24"/>
                <w:highlight w:val="none"/>
                <w:u w:val="single"/>
              </w:rPr>
            </w:pPr>
            <w:r>
              <w:rPr>
                <w:rFonts w:hint="eastAsia" w:ascii="宋体" w:hAnsi="宋体" w:cs="宋体"/>
                <w:color w:val="auto"/>
                <w:sz w:val="24"/>
                <w:highlight w:val="none"/>
              </w:rPr>
              <w:t xml:space="preserve">1.允许分包，允许大中型企业向一家或者多家小微企业分包，分包具体内容、金额或比例：</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p>
            <w:pPr>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2.不允许分包。</w:t>
            </w:r>
            <w:r/>
          </w:p>
        </w:tc>
      </w:tr>
      <w:tr>
        <w:trPr>
          <w:trHeight w:val="1020"/>
        </w:trPr>
        <w:tc>
          <w:tcPr>
            <w:tcW w:w="858" w:type="dxa"/>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9</w:t>
            </w:r>
            <w:r/>
          </w:p>
        </w:tc>
        <w:tc>
          <w:tcPr>
            <w:tcW w:w="1772" w:type="dxa"/>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代理费用收取方式及标准</w:t>
            </w:r>
            <w:r/>
          </w:p>
        </w:tc>
        <w:tc>
          <w:tcPr>
            <w:tcW w:w="6579" w:type="dxa"/>
            <w:vAlign w:val="center"/>
            <w:textDirection w:val="lrTb"/>
            <w:noWrap/>
          </w:tcPr>
          <w:p>
            <w:pPr>
              <w:jc w:val="left"/>
              <w:spacing w:line="440" w:lineRule="exact"/>
              <w:rPr>
                <w:rFonts w:ascii="宋体" w:hAnsi="宋体" w:cs="宋体"/>
                <w:color w:val="auto"/>
                <w:sz w:val="24"/>
                <w:highlight w:val="none"/>
              </w:rPr>
            </w:pPr>
            <w:r/>
            <w:bookmarkStart w:id="64" w:name="EBfe735bb6fc4d4e5e9e350f940db98c5f"/>
            <w:r/>
            <w:bookmarkEnd w:id="64"/>
            <w:r>
              <w:rPr>
                <w:rFonts w:hint="eastAsia" w:ascii="宋体" w:hAnsi="宋体" w:cs="宋体"/>
                <w:color w:val="auto"/>
                <w:sz w:val="24"/>
                <w:highlight w:val="none"/>
              </w:rPr>
              <w:t xml:space="preserve">本项目不收取代理费。</w:t>
            </w:r>
            <w:r/>
          </w:p>
        </w:tc>
      </w:tr>
      <w:tr>
        <w:trPr/>
        <w:tc>
          <w:tcPr>
            <w:tcW w:w="858" w:type="dxa"/>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10</w:t>
            </w:r>
            <w:r/>
          </w:p>
        </w:tc>
        <w:tc>
          <w:tcPr>
            <w:tcW w:w="1772" w:type="dxa"/>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其他</w:t>
            </w:r>
            <w:r/>
          </w:p>
        </w:tc>
        <w:tc>
          <w:tcPr>
            <w:tcW w:w="6579" w:type="dxa"/>
            <w:vAlign w:val="center"/>
            <w:textDirection w:val="lrTb"/>
            <w:noWrap/>
          </w:tcPr>
          <w:p>
            <w:pPr>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1、信用信息查询截止时间：资格审查结束前。由采购人在资格审查现场查询信用信息，网页截屏打印，查询结果留存并归档。</w:t>
            </w:r>
            <w:r/>
          </w:p>
        </w:tc>
      </w:tr>
    </w:tbl>
    <w:p>
      <w:pPr>
        <w:pStyle w:val="921"/>
        <w:ind w:firstLine="321"/>
        <w:spacing w:before="0" w:after="0" w:line="440" w:lineRule="exact"/>
        <w:rPr>
          <w:rFonts w:ascii="宋体" w:hAnsi="宋体" w:eastAsia="宋体" w:cs="宋体"/>
          <w:bCs/>
          <w:color w:val="auto"/>
          <w:sz w:val="24"/>
          <w:szCs w:val="24"/>
          <w:highlight w:val="none"/>
        </w:rPr>
      </w:pPr>
      <w:r/>
      <w:bookmarkStart w:id="65" w:name="_Toc81575155"/>
      <w:r/>
      <w:bookmarkStart w:id="66" w:name="_Toc30953"/>
      <w:r>
        <w:rPr>
          <w:rFonts w:hint="eastAsia" w:ascii="宋体" w:hAnsi="宋体" w:eastAsia="宋体" w:cs="宋体"/>
          <w:bCs/>
          <w:color w:val="auto"/>
          <w:sz w:val="24"/>
          <w:szCs w:val="24"/>
          <w:highlight w:val="none"/>
        </w:rPr>
        <w:t xml:space="preserve">一、总 则</w:t>
      </w:r>
      <w:bookmarkEnd w:id="65"/>
      <w:r/>
      <w:bookmarkEnd w:id="66"/>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1、招标方式</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本次采购采取公开招标方式。</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2、合格的投标人</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2.2满足本文件实质性要求的规定。</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3、适用法律</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本次招标及由招标产生的合同受中华人民共和国的相关法律、法规制约和保护。</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4、投标费用</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pStyle w:val="921"/>
        <w:ind w:firstLine="321"/>
        <w:spacing w:before="0" w:after="0" w:line="440" w:lineRule="exact"/>
        <w:rPr>
          <w:rFonts w:ascii="宋体" w:hAnsi="宋体" w:eastAsia="宋体" w:cs="宋体"/>
          <w:bCs/>
          <w:color w:val="auto"/>
          <w:sz w:val="24"/>
          <w:szCs w:val="24"/>
          <w:highlight w:val="none"/>
        </w:rPr>
      </w:pPr>
      <w:r/>
      <w:bookmarkStart w:id="67" w:name="_Toc81575193"/>
      <w:r/>
      <w:bookmarkStart w:id="68" w:name="_Toc29306"/>
      <w:r/>
      <w:bookmarkStart w:id="69" w:name="_Toc81575156"/>
      <w:r/>
      <w:bookmarkStart w:id="70" w:name="_Toc15995"/>
      <w:r>
        <w:rPr>
          <w:rFonts w:hint="eastAsia" w:ascii="宋体" w:hAnsi="宋体" w:eastAsia="宋体" w:cs="宋体"/>
          <w:bCs/>
          <w:color w:val="auto"/>
          <w:sz w:val="24"/>
          <w:szCs w:val="24"/>
          <w:highlight w:val="none"/>
        </w:rPr>
        <w:t xml:space="preserve">二、招标文件</w:t>
      </w:r>
      <w:bookmarkEnd w:id="67"/>
      <w:r/>
      <w:bookmarkEnd w:id="68"/>
      <w:r/>
      <w:bookmarkEnd w:id="69"/>
      <w:r/>
      <w:bookmarkEnd w:id="70"/>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5、招标文件构成</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5.1招标文件由以下部分组成：</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第一章：投标邀请；</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第二章：投标人须知；</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第三章：资格审查及评标办法；</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第四章：采购需求；</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第五章：合同文本；</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第六章：投标文件格式。</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请仔细检查招标文件是否齐全，如有缺漏请立即与代理机构联系解决。</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6、政府采购政策功能落实</w:t>
      </w:r>
      <w:r/>
    </w:p>
    <w:p>
      <w:pPr>
        <w:ind w:firstLine="482"/>
        <w:spacing w:line="440" w:lineRule="exact"/>
        <w:rPr>
          <w:rFonts w:ascii="宋体" w:hAnsi="宋体" w:cs="宋体"/>
          <w:b/>
          <w:bCs/>
          <w:color w:val="auto"/>
          <w:sz w:val="24"/>
          <w:highlight w:val="none"/>
          <w:u w:val="single"/>
        </w:rPr>
      </w:pPr>
      <w:r>
        <w:rPr>
          <w:rFonts w:hint="eastAsia" w:ascii="宋体" w:hAnsi="宋体" w:cs="宋体"/>
          <w:b/>
          <w:bCs/>
          <w:color w:val="auto"/>
          <w:sz w:val="24"/>
          <w:highlight w:val="none"/>
        </w:rPr>
        <w:t xml:space="preserve">本项目落实的政府采购政策对应序号为</w:t>
      </w:r>
      <w:r>
        <w:rPr>
          <w:rFonts w:hint="eastAsia" w:ascii="宋体" w:hAnsi="宋体" w:cs="宋体"/>
          <w:b/>
          <w:bCs/>
          <w:color w:val="auto"/>
          <w:sz w:val="24"/>
          <w:highlight w:val="none"/>
          <w:u w:val="single"/>
        </w:rPr>
        <w:t xml:space="preserve">6.1、6.2 、6.3、6.4</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6.1中小企业政策</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本项目按第</w:t>
      </w:r>
      <w:r>
        <w:rPr>
          <w:rFonts w:hint="eastAsia" w:ascii="宋体" w:hAnsi="宋体" w:cs="宋体"/>
          <w:color w:val="auto"/>
          <w:sz w:val="24"/>
          <w:highlight w:val="none"/>
          <w:u w:val="single"/>
        </w:rPr>
        <w:t xml:space="preserve">（1）</w:t>
      </w:r>
      <w:r>
        <w:rPr>
          <w:rFonts w:hint="eastAsia" w:ascii="宋体" w:hAnsi="宋体" w:cs="宋体"/>
          <w:color w:val="auto"/>
          <w:sz w:val="24"/>
          <w:highlight w:val="none"/>
        </w:rPr>
        <w:t xml:space="preserve">种政策落实：</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（1）本项目专门面向中小企业（含监狱与戒毒企业、残疾人福利企业）采购。</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（2）对符合规定情形的小微企业报价给予</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扣除，用扣除后的价格参加评审。</w:t>
      </w:r>
      <w:r/>
    </w:p>
    <w:p>
      <w:pPr>
        <w:ind w:firstLine="480"/>
        <w:spacing w:line="440" w:lineRule="exact"/>
        <w:rPr>
          <w:rFonts w:ascii="宋体" w:hAnsi="宋体" w:cs="宋体"/>
          <w:color w:val="auto"/>
          <w:sz w:val="24"/>
          <w:highlight w:val="none"/>
        </w:rPr>
      </w:pPr>
      <w:r>
        <w:rPr>
          <w:rFonts w:hint="eastAsia" w:ascii="Times New Roman" w:hAnsi="Times New Roman"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none"/>
          <w:u w:val="single"/>
        </w:rPr>
        <w:t xml:space="preserve">5</w:t>
      </w:r>
      <w:r>
        <w:rPr>
          <w:rFonts w:hint="eastAsia" w:ascii="Times New Roman" w:hAnsi="Times New Roman" w:cs="仿宋"/>
          <w:color w:val="auto"/>
          <w:sz w:val="24"/>
          <w:highlight w:val="none"/>
        </w:rPr>
        <w:t xml:space="preserve">%（工程项目为</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⑤联合体各方均为小型、微型企业（残疾人福利单位、监狱企业）的，联合体享受/%价格扣除，用扣除后的价格参与评审。</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6.2节能产品、环境标志产品</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6.2.2采购人拟采购的产品属于优先采购的节能环保品目清单范围的，按以下条件优先采购：</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采用综合评分法的项目，对提供有效节能环保证书的投标人加分。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采用最低评标价法的项目，同等条件下优先推荐提供有效节能环保证书多的投标人为中标人。</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6.3政府采购需求标准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6.3.1商品包装、快递包装政府采购需求标准（试行）</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6.3.2绿色数据中心政府采购需求标准（试行）</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6.3.3绿色建材政府采购需求标准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按照财政部住房和城乡建设部工业和信息化部关于印发《关于扩大政府采购支持绿色建材促进建筑品质提升政策实施范围的通知》要求执行，本项目绿色建材的具体需求详见第四章采购需求。</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7、招标文件的澄清或修改</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7.3投标人应及时登录“苏采云”系统获取澄清答疑文件（修改后的招标文件），如投标人未能及时下载澄清答疑文件，造成的相关责任由投标人承担。</w:t>
      </w:r>
      <w:r/>
    </w:p>
    <w:p>
      <w:pPr>
        <w:pStyle w:val="921"/>
        <w:ind w:firstLine="321"/>
        <w:spacing w:before="0" w:after="0" w:line="440" w:lineRule="exact"/>
        <w:rPr>
          <w:rFonts w:ascii="宋体" w:hAnsi="宋体" w:eastAsia="宋体" w:cs="宋体"/>
          <w:bCs/>
          <w:color w:val="auto"/>
          <w:sz w:val="24"/>
          <w:szCs w:val="24"/>
          <w:highlight w:val="none"/>
        </w:rPr>
      </w:pPr>
      <w:r/>
      <w:bookmarkStart w:id="71" w:name="_Toc5574"/>
      <w:r/>
      <w:bookmarkStart w:id="72" w:name="_Toc81575157"/>
      <w:r/>
      <w:bookmarkStart w:id="73" w:name="_Toc81575194"/>
      <w:r/>
      <w:bookmarkStart w:id="74" w:name="_Toc11461"/>
      <w:r>
        <w:rPr>
          <w:rFonts w:hint="eastAsia" w:ascii="宋体" w:hAnsi="宋体" w:eastAsia="宋体" w:cs="宋体"/>
          <w:bCs/>
          <w:color w:val="auto"/>
          <w:sz w:val="24"/>
          <w:szCs w:val="24"/>
          <w:highlight w:val="none"/>
        </w:rPr>
        <w:t xml:space="preserve">三、投标文件的编制</w:t>
      </w:r>
      <w:bookmarkEnd w:id="71"/>
      <w:r/>
      <w:bookmarkEnd w:id="72"/>
      <w:r/>
      <w:bookmarkEnd w:id="73"/>
      <w:r/>
      <w:bookmarkEnd w:id="74"/>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8、投标文件的编制要求</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9、投标文件构成</w:t>
      </w:r>
      <w:r/>
    </w:p>
    <w:p>
      <w:pPr>
        <w:ind w:firstLine="480"/>
        <w:spacing w:line="440" w:lineRule="exact"/>
        <w:rPr>
          <w:rFonts w:ascii="宋体" w:hAnsi="宋体" w:cs="宋体"/>
          <w:bCs/>
          <w:color w:val="auto"/>
          <w:sz w:val="24"/>
          <w:highlight w:val="none"/>
        </w:rPr>
      </w:pPr>
      <w:r>
        <w:rPr>
          <w:rFonts w:hint="eastAsia" w:ascii="宋体" w:hAnsi="宋体" w:cs="宋体"/>
          <w:color w:val="auto"/>
          <w:sz w:val="24"/>
          <w:highlight w:val="none"/>
        </w:rPr>
        <w:t xml:space="preserve">9.1投标文件包括资格证明文件、开标一览表、分项报价表、响应及偏离表、投标函、其他证明文件等部分。</w:t>
      </w:r>
      <w:r>
        <w:rPr>
          <w:rFonts w:hint="eastAsia" w:ascii="宋体" w:hAnsi="宋体" w:cs="宋体"/>
          <w:bCs/>
          <w:color w:val="auto"/>
          <w:sz w:val="24"/>
          <w:highlight w:val="none"/>
        </w:rPr>
        <w:t xml:space="preserve">投标文件构成资料为非中文时应提供中文译版。</w:t>
      </w:r>
      <w:bookmarkStart w:id="75" w:name="EBc50e2bb832bb43068403b10c1cce6141"/>
      <w:r/>
      <w:r/>
    </w:p>
    <w:p>
      <w:pPr>
        <w:ind w:firstLine="482"/>
        <w:spacing w:line="440" w:lineRule="exact"/>
        <w:rPr>
          <w:rFonts w:ascii="宋体" w:hAnsi="宋体" w:cs="宋体"/>
          <w:bCs/>
          <w:color w:val="auto"/>
          <w:sz w:val="24"/>
          <w:highlight w:val="none"/>
        </w:rPr>
      </w:pPr>
      <w:r>
        <w:rPr>
          <w:rFonts w:hint="eastAsia" w:ascii="宋体" w:hAnsi="宋体" w:cs="宋体"/>
          <w:b/>
          <w:color w:val="auto"/>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75"/>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10、投标报价</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10.1报价为一次报价，本项目不接受备选的投标方案或有选择的报价，只允许有一个报价。投标报价内容包括：项目本身费用、所需设备、线路租赁、维护、电费、材料、安装、调试、维护、培训、运输、施工、垃圾清扫和搬运、成品保护、检测、检验、利润、税金、政策性文件规定及本项目包含的所有风险、责任等各项应有费用。</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10.2报价注意事项：投标价格一律以人民币计算，以元为单位标注，最多保留至小数点后两位，招标文件有规定的按招标文件执行。</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11、投标保证金</w:t>
      </w:r>
      <w:bookmarkStart w:id="76" w:name="EB183a0bf075204c54a4ff090f1aecaaa7"/>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本项目不收取投标保证金。</w:t>
      </w:r>
      <w:bookmarkEnd w:id="76"/>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12、投标有效期</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921"/>
        <w:ind w:firstLine="321"/>
        <w:spacing w:before="0" w:after="0" w:line="440" w:lineRule="exact"/>
        <w:rPr>
          <w:rFonts w:ascii="宋体" w:hAnsi="宋体" w:eastAsia="宋体" w:cs="宋体"/>
          <w:bCs/>
          <w:color w:val="auto"/>
          <w:sz w:val="24"/>
          <w:szCs w:val="24"/>
          <w:highlight w:val="none"/>
        </w:rPr>
      </w:pPr>
      <w:r/>
      <w:bookmarkStart w:id="77" w:name="_Toc81575158"/>
      <w:r/>
      <w:bookmarkStart w:id="78" w:name="_Toc2773"/>
      <w:r/>
      <w:bookmarkStart w:id="79" w:name="_Toc81575195"/>
      <w:r/>
      <w:bookmarkStart w:id="80" w:name="_Toc23443"/>
      <w:r>
        <w:rPr>
          <w:rFonts w:hint="eastAsia" w:ascii="宋体" w:hAnsi="宋体" w:eastAsia="宋体" w:cs="宋体"/>
          <w:bCs/>
          <w:color w:val="auto"/>
          <w:sz w:val="24"/>
          <w:szCs w:val="24"/>
          <w:highlight w:val="none"/>
        </w:rPr>
        <w:t xml:space="preserve">四、投标文件的提交</w:t>
      </w:r>
      <w:bookmarkEnd w:id="77"/>
      <w:r/>
      <w:bookmarkEnd w:id="78"/>
      <w:r/>
      <w:bookmarkEnd w:id="79"/>
      <w:r/>
      <w:bookmarkEnd w:id="80"/>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13、投标文件的提交</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13.2投标文件的修改和撤回：在投标截止时间前，投标人可以撤回或重新提交投标文件。投标文件以最终完成上传的为准。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14、投标文件被拒绝接收的情形</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在招标文件规定的投标截止时间后上传的投标文件或对投标报价或其他实质性内容修正的文件。</w:t>
      </w:r>
      <w:r/>
    </w:p>
    <w:p>
      <w:pPr>
        <w:pStyle w:val="921"/>
        <w:ind w:firstLine="321"/>
        <w:spacing w:before="0" w:after="0" w:line="440" w:lineRule="exact"/>
        <w:rPr>
          <w:rFonts w:ascii="宋体" w:hAnsi="宋体" w:eastAsia="宋体" w:cs="宋体"/>
          <w:bCs/>
          <w:color w:val="auto"/>
          <w:sz w:val="24"/>
          <w:szCs w:val="24"/>
          <w:highlight w:val="none"/>
        </w:rPr>
      </w:pPr>
      <w:r/>
      <w:bookmarkStart w:id="81" w:name="_Toc959"/>
      <w:r/>
      <w:bookmarkStart w:id="82" w:name="_Toc81575197"/>
      <w:r/>
      <w:bookmarkStart w:id="83" w:name="_Toc20026"/>
      <w:r/>
      <w:bookmarkStart w:id="84" w:name="_Toc81575160"/>
      <w:r>
        <w:rPr>
          <w:rFonts w:hint="eastAsia" w:ascii="宋体" w:hAnsi="宋体" w:eastAsia="宋体" w:cs="宋体"/>
          <w:bCs/>
          <w:color w:val="auto"/>
          <w:sz w:val="24"/>
          <w:szCs w:val="24"/>
          <w:highlight w:val="none"/>
        </w:rPr>
        <w:t xml:space="preserve">五、开标、评标程序</w:t>
      </w:r>
      <w:bookmarkEnd w:id="81"/>
      <w:r/>
      <w:bookmarkEnd w:id="82"/>
      <w:r/>
      <w:bookmarkEnd w:id="83"/>
      <w:r/>
      <w:bookmarkEnd w:id="84"/>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15、开标</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15.2开标仪式由采购代理机构组织。“苏采云”系统将自动对项目进行开标，并宣布各投标人名称和投标价格。</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15.5投标人在开、评标全过程中应保持通讯畅通，及时登录“苏采云”系统查阅、答复相关信息。</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16、评标委员会</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17、评标程序</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17.1资格审查</w:t>
      </w:r>
      <w:bookmarkStart w:id="85" w:name="EBa9c0a2c9e523494487594c65b2a92370"/>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开标结束后，采购人依法根据招标文件的规定对投标人的资格证明文件等进行审查。</w:t>
      </w:r>
      <w:bookmarkEnd w:id="85"/>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17.2符合性检查</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86" w:name="EB1499356fad43416eb16398733accabf7"/>
      <w:r>
        <w:rPr>
          <w:rFonts w:hint="eastAsia" w:ascii="宋体" w:hAnsi="宋体" w:cs="宋体"/>
          <w:color w:val="auto"/>
          <w:sz w:val="24"/>
          <w:highlight w:val="none"/>
        </w:rPr>
        <w:t xml:space="preserve">所谓重大偏离是指投标人投标文件中所述设备质量、技术规格、数量、交货期、服务等明显不能满足招标文件要求。</w:t>
      </w:r>
      <w:bookmarkEnd w:id="86"/>
      <w:r>
        <w:rPr>
          <w:rFonts w:hint="eastAsia" w:ascii="宋体" w:hAnsi="宋体" w:cs="宋体"/>
          <w:color w:val="auto"/>
          <w:sz w:val="24"/>
          <w:highlight w:val="none"/>
        </w:rPr>
        <w:t xml:space="preserve">重大偏离的认定需经过评标委员会以少数服从多数的原则作出结论。</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17.5相同品牌产品投标</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17.5.3非单一产品采购项目，采购人确定核心产品，并在招标文件中载明。多家投标人提供的核心产品品牌相同的，按前两款规定处理。</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17.6有关问题的澄清</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17.6.2投标文件报价出现前后不一致的，除招标文件另有规定外，按照下列规定修正：</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评标过程中，不得去掉报价中的最高报价和最低报价。</w:t>
      </w:r>
      <w:r/>
    </w:p>
    <w:p>
      <w:pPr>
        <w:ind w:firstLine="480"/>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17.7异常低价投标审查</w:t>
      </w:r>
      <w:r/>
    </w:p>
    <w:p>
      <w:pPr>
        <w:ind w:firstLine="480"/>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17.7.1评标过程中出现下列情形之一的，评标委员会应当启动异常低价投标审查程序：</w:t>
      </w:r>
      <w:r/>
    </w:p>
    <w:p>
      <w:pPr>
        <w:ind w:firstLine="480"/>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（1）投标报价低于采购项目预算50%的，即投标报价＜采购项目预算×50%；</w:t>
      </w:r>
      <w:r/>
    </w:p>
    <w:p>
      <w:pPr>
        <w:ind w:firstLine="480"/>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（2）投标报价低于采购项目最高限价45%的，即投标报价＜采购项目最高限价×45%；</w:t>
      </w:r>
      <w:r/>
    </w:p>
    <w:p>
      <w:pPr>
        <w:ind w:firstLine="480"/>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（3）评标委员会认定的供应商报价过低（含明显低于其他通过符合性审查投标人的报价）、有可能影响产品质量或者不能诚信履约的其他情形。</w:t>
      </w:r>
      <w:r/>
    </w:p>
    <w:p>
      <w:pPr>
        <w:ind w:firstLine="480"/>
        <w:spacing w:line="480" w:lineRule="exact"/>
        <w:rPr>
          <w:rFonts w:ascii="宋体" w:hAnsi="宋体" w:cs="宋体"/>
          <w:b/>
          <w:bCs/>
          <w:color w:val="auto"/>
          <w:sz w:val="24"/>
          <w:highlight w:val="none"/>
        </w:rPr>
      </w:pPr>
      <w:r>
        <w:rPr>
          <w:rFonts w:hint="eastAsia" w:ascii="Times New Roman" w:hAnsi="Times New Roman" w:cs="仿宋"/>
          <w:b/>
          <w:bCs/>
          <w:color w:val="auto"/>
          <w:sz w:val="24"/>
          <w:highlight w:val="none"/>
        </w:rPr>
        <w:t xml:space="preserve">17.7.2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17.8比较</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评标委员会将按招标文件中规定的评标方法和标准，对符合性检查合格的投标文件进行商务和技术评比。</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17.9推荐中标候选人</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评标委员会按照招标文件中规定的评标方法和标准推荐中标候选人。</w:t>
      </w:r>
      <w:r/>
    </w:p>
    <w:p>
      <w:pPr>
        <w:pStyle w:val="921"/>
        <w:ind w:firstLine="321"/>
        <w:spacing w:before="0" w:after="0" w:line="440" w:lineRule="exact"/>
        <w:rPr>
          <w:rFonts w:ascii="宋体" w:hAnsi="宋体" w:eastAsia="宋体" w:cs="宋体"/>
          <w:bCs/>
          <w:color w:val="auto"/>
          <w:sz w:val="24"/>
          <w:szCs w:val="24"/>
          <w:highlight w:val="none"/>
        </w:rPr>
      </w:pPr>
      <w:r/>
      <w:bookmarkStart w:id="87" w:name="_Toc8712"/>
      <w:r/>
      <w:bookmarkStart w:id="88" w:name="_Toc8841"/>
      <w:r/>
      <w:bookmarkStart w:id="89" w:name="_Toc81575196"/>
      <w:r/>
      <w:bookmarkStart w:id="90" w:name="_Toc81575159"/>
      <w:r>
        <w:rPr>
          <w:rFonts w:hint="eastAsia" w:ascii="宋体" w:hAnsi="宋体" w:eastAsia="宋体" w:cs="宋体"/>
          <w:bCs/>
          <w:color w:val="auto"/>
          <w:sz w:val="24"/>
          <w:szCs w:val="24"/>
          <w:highlight w:val="none"/>
        </w:rPr>
        <w:t xml:space="preserve">六、无效投标、废标、串通投标</w:t>
      </w:r>
      <w:bookmarkEnd w:id="87"/>
      <w:r/>
      <w:bookmarkEnd w:id="88"/>
      <w:r/>
      <w:bookmarkEnd w:id="89"/>
      <w:r/>
      <w:bookmarkEnd w:id="90"/>
      <w:r>
        <w:rPr>
          <w:rFonts w:hint="eastAsia" w:ascii="宋体" w:hAnsi="宋体" w:eastAsia="宋体" w:cs="宋体"/>
          <w:bCs/>
          <w:color w:val="auto"/>
          <w:sz w:val="24"/>
          <w:szCs w:val="24"/>
          <w:highlight w:val="none"/>
        </w:rPr>
        <w:t xml:space="preserve">及取消中标候选人资格情形</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18、无效投标情形</w:t>
      </w:r>
      <w:r/>
    </w:p>
    <w:p>
      <w:pPr>
        <w:ind w:firstLine="480"/>
        <w:spacing w:line="440" w:lineRule="exact"/>
        <w:rPr>
          <w:rFonts w:ascii="宋体" w:hAnsi="宋体" w:cs="宋体"/>
          <w:strike/>
          <w:color w:val="auto"/>
          <w:sz w:val="24"/>
          <w:highlight w:val="none"/>
        </w:rPr>
      </w:pPr>
      <w:r>
        <w:rPr>
          <w:rFonts w:hint="eastAsia" w:ascii="宋体" w:hAnsi="宋体" w:cs="宋体"/>
          <w:color w:val="auto"/>
          <w:sz w:val="24"/>
          <w:highlight w:val="none"/>
        </w:rPr>
        <w:t xml:space="preserve">18.1投标人同一采购包提交两个（含两个）以上不同的投标报价的。</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18.2投标人不符合招标文件规定资格要求的或未按规定提交资质证件的。</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18.3投标人的报价超过了采购预算或最高限价的。</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18.4投标文件未通过符合性审查的。</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18.5投标文件出现重大偏离，不符合招标文件中规定的实质性要求的（★部分为实质性要求）。</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18.7投标文件未按照招标文件要求加盖CA电子公章的。</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18.8投标人有本招标文件规定的恶意串通投标情形的。</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18.9投标文件含有采购人不能接受的附加条件的。</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18.10其他法律、法规及本招标文件规定的属无效投标的情形。</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19、废标情形</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19.1符合专业条件的投标人或者对招标文件作实质响应的投标人不足三家的。</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19.4评标委员会认定招标文件存在歧义、重大缺陷导致评审工作无法进行的。</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19.5在“苏采云”系统规定时间内成功解密电子投标文件的投标人不足3家的。</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21、串通投标情形</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有下列情形之一的，属于恶意串通投标：</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21.1供应商直接或间接从采购人或采购代理机构处获得其他供应商的投标情况，并修改其投标文件；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21.2评审活动开始前供应商直接或间接从采购人或采购代理机构处获得评标委员会组成人员情况；</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21.3供应商接受采购人或采购代理机构授意撤换、修改投标文件；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21.4供应商之间协商投标报价、技术方案等投标文件实质性内容；</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21.5属于同一集团、协会、商会等组织成员的供应商按照该组织要求协同投标；</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21.6供应商之间事先约定由某一特定供应商中标、成交；</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21.7供应商之间商定部分供应商放弃投标或者放弃中标、成交；</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21.8供应商与采购人或采购代理机构之间、供应商相互之间为谋求特定供应商中标成交或者排斥其他供应商的其他串通行为；</w:t>
      </w:r>
      <w:r/>
    </w:p>
    <w:p>
      <w:pPr>
        <w:ind w:firstLine="482"/>
        <w:spacing w:line="440" w:lineRule="exact"/>
        <w:rPr>
          <w:rFonts w:ascii="宋体" w:hAnsi="宋体" w:cs="宋体"/>
          <w:color w:val="auto"/>
          <w:sz w:val="24"/>
          <w:highlight w:val="none"/>
        </w:rPr>
      </w:pPr>
      <w:r>
        <w:rPr>
          <w:rFonts w:hint="eastAsia" w:ascii="宋体" w:hAnsi="宋体" w:cs="宋体"/>
          <w:color w:val="auto"/>
          <w:sz w:val="24"/>
          <w:highlight w:val="none"/>
        </w:rPr>
        <w:t xml:space="preserve">有下列情形之一的，视为投标人串通投标，其投标无效：</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21.9不同投标人的投标文件由同一单位或者个人编制；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21.10不同投标人委托同一单位或者个人办理投标事宜；</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21.11不同投标人的投标文件载明的项目管理成员或者联系人员为同一人；</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21.12不同投标人的投标文件异常一致或者投标报价呈规律性差异；</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21.13不同投标人的投标文件相互混装；</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21.14不同投标人的投标保证金从同一单位或者个人的账户转出。</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22、</w:t>
      </w:r>
      <w:bookmarkStart w:id="91" w:name="OLE_LINK4"/>
      <w:r>
        <w:rPr>
          <w:rFonts w:hint="eastAsia" w:ascii="宋体" w:hAnsi="宋体" w:cs="宋体"/>
          <w:b/>
          <w:color w:val="auto"/>
          <w:sz w:val="24"/>
          <w:highlight w:val="none"/>
        </w:rPr>
        <w:t xml:space="preserve">取消中标候选人资格情形</w:t>
      </w:r>
      <w:bookmarkEnd w:id="91"/>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22.1提供虚假材料谋取中标的；</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22.2采取不正当手段诋毁、排挤其他投标人的；</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22.3与采购人、其他投标人或者采购代理机构恶意串通的；</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22.4向采购人、采购代理机构行贿或者提供其他不正当利益的；</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22.5未在规定时间内与采购人签订采购合同的；</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22.6法律、法规规定的其它情况。</w:t>
      </w:r>
      <w:bookmarkStart w:id="92" w:name="_Toc2391"/>
      <w:r/>
      <w:bookmarkStart w:id="93" w:name="_Toc6494"/>
      <w:r/>
      <w:bookmarkStart w:id="94" w:name="_Toc81575198"/>
      <w:r/>
      <w:bookmarkStart w:id="95" w:name="_Toc81575161"/>
      <w:r/>
      <w:r/>
    </w:p>
    <w:p>
      <w:pPr>
        <w:ind w:firstLine="321"/>
        <w:spacing w:line="440" w:lineRule="exact"/>
        <w:rPr>
          <w:rFonts w:ascii="宋体" w:hAnsi="宋体" w:cs="宋体"/>
          <w:b/>
          <w:bCs/>
          <w:color w:val="auto"/>
          <w:sz w:val="24"/>
          <w:highlight w:val="none"/>
        </w:rPr>
        <w:outlineLvl w:val="1"/>
      </w:pPr>
      <w:r>
        <w:rPr>
          <w:rFonts w:hint="eastAsia" w:ascii="宋体" w:hAnsi="宋体" w:cs="宋体"/>
          <w:b/>
          <w:bCs/>
          <w:color w:val="auto"/>
          <w:sz w:val="24"/>
          <w:highlight w:val="none"/>
        </w:rPr>
        <w:t xml:space="preserve">七、中标及合同签订</w:t>
      </w:r>
      <w:bookmarkEnd w:id="92"/>
      <w:r/>
      <w:bookmarkEnd w:id="93"/>
      <w:r/>
      <w:bookmarkEnd w:id="94"/>
      <w:r/>
      <w:bookmarkEnd w:id="95"/>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23、确定中标人</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23.1采购人应当自收到评审报告之日起5个工作日内在评审报告推荐的中标候选人中按顺序确定中标人。</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23.2中标人确定之日起2个工作日内，采购人、采购代理机构将发布中标结果，中标公告的公告期限为1个工作日。</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23.3采购人确定正被列为失信被执行人的投标人为中标人的，中标结果无效。</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24、中标通知书</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24.2中标通知书发出后，采购人改变中标结果的，或者中标人放弃中标项目的，应当依法承担法律责任。</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24.3采用综合评分法评审的，未中标人可于中标结果公告期限届满之日起通过“苏采云”系统查看</w:t>
      </w:r>
      <w:bookmarkStart w:id="96" w:name="OLE_LINK5"/>
      <w:r>
        <w:rPr>
          <w:rFonts w:hint="eastAsia" w:ascii="宋体" w:hAnsi="宋体" w:cs="宋体"/>
          <w:color w:val="auto"/>
          <w:sz w:val="24"/>
          <w:highlight w:val="none"/>
        </w:rPr>
        <w:t xml:space="preserve">自己的评审得分及排序情况。</w:t>
      </w:r>
      <w:bookmarkEnd w:id="96"/>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25、授予合同</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25.2采购人在自合同签订之日起2个工作日内，将合同在指定的媒体上公告。</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26、履约保证金</w:t>
      </w:r>
      <w:r/>
    </w:p>
    <w:p>
      <w:pPr>
        <w:ind w:firstLine="480"/>
        <w:spacing w:line="44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按照以下第</w:t>
      </w:r>
      <w:r>
        <w:rPr>
          <w:rFonts w:hint="eastAsia" w:ascii="宋体" w:hAnsi="宋体" w:cs="宋体"/>
          <w:color w:val="auto"/>
          <w:sz w:val="24"/>
          <w:highlight w:val="none"/>
          <w:u w:val="single"/>
        </w:rPr>
        <w:t xml:space="preserve">（2）</w:t>
      </w:r>
      <w:r>
        <w:rPr>
          <w:rFonts w:hint="eastAsia" w:ascii="宋体" w:hAnsi="宋体" w:cs="宋体"/>
          <w:color w:val="auto"/>
          <w:sz w:val="24"/>
          <w:highlight w:val="none"/>
          <w:lang w:val="zh-CN"/>
        </w:rPr>
        <w:t xml:space="preserve">方式确定履约保证</w:t>
      </w:r>
      <w:r>
        <w:rPr>
          <w:rFonts w:hint="eastAsia" w:ascii="宋体" w:hAnsi="宋体" w:cs="宋体"/>
          <w:color w:val="auto"/>
          <w:sz w:val="24"/>
          <w:highlight w:val="none"/>
        </w:rPr>
        <w:t xml:space="preserve">金</w:t>
      </w:r>
      <w:r>
        <w:rPr>
          <w:rFonts w:hint="eastAsia" w:ascii="宋体" w:hAnsi="宋体" w:cs="宋体"/>
          <w:color w:val="auto"/>
          <w:sz w:val="24"/>
          <w:highlight w:val="none"/>
          <w:lang w:val="zh-CN"/>
        </w:rPr>
        <w:t xml:space="preserve">收取方式。</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（1）本项目不收取履约保证金。</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（2）本项目收取履约保证金。</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26.1履约保证金提交形式</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履约保证金应</w:t>
      </w:r>
      <w:r>
        <w:rPr>
          <w:rFonts w:hint="eastAsia" w:ascii="宋体" w:hAnsi="宋体" w:cs="宋体"/>
          <w:color w:val="auto"/>
          <w:sz w:val="24"/>
          <w:highlight w:val="none"/>
          <w:lang w:val="zh-CN"/>
        </w:rPr>
        <w:t xml:space="preserve">在中标公告发布之日起7日历天内提交。</w:t>
      </w:r>
      <w:r>
        <w:rPr>
          <w:rFonts w:hint="eastAsia" w:ascii="宋体" w:hAnsi="宋体" w:cs="宋体"/>
          <w:color w:val="auto"/>
          <w:sz w:val="24"/>
          <w:highlight w:val="none"/>
        </w:rPr>
        <w:t xml:space="preserve">除银行电汇、网上银行、数字人民币外，投标人还可选用银行保函、担保公司的保证担保或保险公司的保证保险等多种形式向采购人缴纳。</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26.2履约保证金提交金额</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按采购合同总价的</w:t>
      </w:r>
      <w:r>
        <w:rPr>
          <w:rFonts w:hint="eastAsia" w:ascii="宋体" w:hAnsi="宋体" w:cs="宋体"/>
          <w:color w:val="auto"/>
          <w:sz w:val="24"/>
          <w:highlight w:val="none"/>
          <w:u w:val="single"/>
        </w:rPr>
        <w:t xml:space="preserve">2</w:t>
      </w:r>
      <w:r>
        <w:rPr>
          <w:rFonts w:hint="eastAsia" w:ascii="宋体" w:hAnsi="宋体" w:cs="宋体"/>
          <w:color w:val="auto"/>
          <w:sz w:val="24"/>
          <w:highlight w:val="none"/>
        </w:rPr>
        <w:t xml:space="preserve">%提交。</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支持和鼓励投标人使用江苏政府采购电子履约保函（保险）代替缴纳履约保证金，投标人如使用江苏政府采购电子履约保函（保险）的，可按采购合同总价的 </w:t>
      </w:r>
      <w:r>
        <w:rPr>
          <w:rFonts w:hint="eastAsia" w:ascii="宋体" w:hAnsi="宋体" w:cs="宋体"/>
          <w:color w:val="auto"/>
          <w:sz w:val="24"/>
          <w:highlight w:val="none"/>
          <w:u w:val="single"/>
        </w:rPr>
        <w:t xml:space="preserve">1.2</w:t>
      </w:r>
      <w:r>
        <w:rPr>
          <w:rFonts w:hint="eastAsia" w:ascii="宋体" w:hAnsi="宋体" w:cs="宋体"/>
          <w:color w:val="auto"/>
          <w:sz w:val="24"/>
          <w:highlight w:val="none"/>
        </w:rPr>
        <w:t xml:space="preserve"> %（履约保证金原提交金额的6折）提交。办理流程、偿付等内容见江苏政府采购网“保险保函”模块。</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26.3履约保证金退还方式</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26.4履约保证金退还条件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具有验收合格相关证明材料。</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26.5履约保证金退还时间</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采购人收到投标人退付申请后5个工作日内退还。</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26.6履约保证金不予退还情形</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26.7逾期退还履约保证金违约责任</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26.8如中标人未在规定时间内缴纳履约保证金，视为虚假承诺，采购人有权报请财政部门进行处理。</w:t>
      </w:r>
      <w:r/>
    </w:p>
    <w:p>
      <w:pPr>
        <w:ind w:firstLine="482"/>
        <w:spacing w:line="440" w:lineRule="exact"/>
        <w:rPr>
          <w:rFonts w:ascii="宋体" w:hAnsi="宋体" w:cs="宋体"/>
          <w:b/>
          <w:bCs/>
          <w:color w:val="auto"/>
          <w:sz w:val="24"/>
          <w:highlight w:val="none"/>
        </w:rPr>
      </w:pPr>
      <w:r>
        <w:rPr>
          <w:rFonts w:hint="eastAsia" w:ascii="宋体" w:hAnsi="宋体" w:cs="宋体"/>
          <w:b/>
          <w:color w:val="auto"/>
          <w:sz w:val="24"/>
          <w:highlight w:val="none"/>
        </w:rPr>
        <w:t xml:space="preserve">27、线上融资</w:t>
      </w:r>
      <w:r/>
    </w:p>
    <w:p>
      <w:pPr>
        <w:ind w:firstLine="480"/>
        <w:spacing w:line="440" w:lineRule="exact"/>
        <w:rPr>
          <w:rFonts w:ascii="宋体" w:hAnsi="宋体" w:cs="宋体"/>
          <w:b/>
          <w:bCs/>
          <w:color w:val="auto"/>
          <w:sz w:val="24"/>
          <w:highlight w:val="none"/>
        </w:rPr>
      </w:pPr>
      <w:r>
        <w:rPr>
          <w:rFonts w:hint="eastAsia" w:ascii="宋体" w:hAnsi="宋体" w:cs="宋体"/>
          <w:bCs/>
          <w:color w:val="auto"/>
          <w:sz w:val="24"/>
          <w:highlight w:val="none"/>
        </w:rPr>
        <w:t xml:space="preserve">中标人可凭政府采购合同办理融资贷款，详情见江苏政府采购网“政采贷”专栏。</w:t>
      </w:r>
      <w:r/>
    </w:p>
    <w:p>
      <w:pPr>
        <w:ind w:firstLine="482"/>
        <w:spacing w:line="440" w:lineRule="exact"/>
        <w:rPr>
          <w:rFonts w:ascii="宋体" w:hAnsi="宋体" w:cs="宋体"/>
          <w:color w:val="auto"/>
          <w:sz w:val="24"/>
          <w:highlight w:val="none"/>
        </w:rPr>
      </w:pPr>
      <w:r>
        <w:rPr>
          <w:rFonts w:hint="eastAsia" w:ascii="宋体" w:hAnsi="宋体" w:cs="宋体"/>
          <w:b/>
          <w:color w:val="auto"/>
          <w:sz w:val="24"/>
          <w:highlight w:val="none"/>
        </w:rPr>
        <w:t xml:space="preserve">28、合同履行</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28.1政府采购合同订立后，合同各方不得擅自变更、中止或者终止合同。</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921"/>
        <w:spacing w:before="0" w:after="0" w:line="440" w:lineRule="exact"/>
        <w:rPr>
          <w:rFonts w:ascii="宋体" w:hAnsi="宋体" w:eastAsia="宋体" w:cs="宋体"/>
          <w:bCs/>
          <w:color w:val="auto"/>
          <w:sz w:val="24"/>
          <w:szCs w:val="24"/>
          <w:highlight w:val="none"/>
        </w:rPr>
      </w:pPr>
      <w:r/>
      <w:bookmarkStart w:id="97" w:name="_Toc81575199"/>
      <w:r/>
      <w:bookmarkStart w:id="98" w:name="_Toc22084"/>
      <w:r/>
      <w:bookmarkStart w:id="99" w:name="_Toc7550"/>
      <w:r/>
      <w:bookmarkStart w:id="100" w:name="_Toc81575162"/>
      <w:r>
        <w:rPr>
          <w:rFonts w:hint="eastAsia" w:ascii="宋体" w:hAnsi="宋体" w:eastAsia="宋体" w:cs="宋体"/>
          <w:bCs/>
          <w:color w:val="auto"/>
          <w:sz w:val="24"/>
          <w:szCs w:val="24"/>
          <w:highlight w:val="none"/>
        </w:rPr>
        <w:t xml:space="preserve">八、</w:t>
      </w:r>
      <w:bookmarkEnd w:id="97"/>
      <w:r/>
      <w:bookmarkEnd w:id="98"/>
      <w:r/>
      <w:bookmarkEnd w:id="99"/>
      <w:r/>
      <w:bookmarkEnd w:id="100"/>
      <w:r/>
      <w:bookmarkStart w:id="101" w:name="_Toc31888"/>
      <w:r/>
      <w:bookmarkStart w:id="102" w:name="_Toc12263"/>
      <w:r/>
      <w:bookmarkStart w:id="103" w:name="_Toc81575200"/>
      <w:r/>
      <w:bookmarkStart w:id="104" w:name="_Toc81575163"/>
      <w:r>
        <w:rPr>
          <w:rFonts w:hint="eastAsia" w:ascii="宋体" w:hAnsi="宋体" w:eastAsia="宋体" w:cs="宋体"/>
          <w:bCs/>
          <w:color w:val="auto"/>
          <w:sz w:val="24"/>
          <w:szCs w:val="24"/>
          <w:highlight w:val="none"/>
        </w:rPr>
        <w:t xml:space="preserve">质疑与投诉</w:t>
      </w:r>
      <w:bookmarkEnd w:id="101"/>
      <w:r/>
      <w:bookmarkEnd w:id="102"/>
      <w:r/>
      <w:bookmarkEnd w:id="103"/>
      <w:r/>
      <w:bookmarkEnd w:id="104"/>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29、质疑</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29.1供应商认为采购文件、采购过程和中标结果使自己的权益受到损害的，可以在知道或者应知其权益受到损害之日起七个工作日内，（具体起算时间见29.2），以书面形式向采购人或者其委托的采购代理机构提出质疑。质疑超出采购机构代理范围的，投标人应当向采购人提出。</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本项目接收质疑函的方式：现场接收或邮寄接收。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联系部门：泗洪县公安局、泗洪县公共资源交易中心</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联系电话：15950613231、18851398356</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通讯地址：泗洪县淮河东路6号、泗洪县仁和路5号</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29.2供应商应知其权益受到损害之日，是指：</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（1）对本项目采购文件提出质疑的，为获取采购文件之日或者采购文件公告期限届满之日；</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（2）对本项目采购过程提出质疑的，为各采购程序环节结束之日；</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（3）对本项目中标结果提出质疑的，为中标结果公告期限届满之日。</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29.4供应商提出质疑应当提交质疑函和必要的证明材料。质疑函的必备内容：</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（1）供应商的姓名或者名称、地址、邮编、联系人及联系电话；</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（2）质疑项目的名称、编号；</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（3）获取采购文件的时间；</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（4）具体、明确的质疑事项和质疑事项相关的请求；</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（5）事实依据；</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（6）必要的法律依据；</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（7）提出质疑的日期；</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29.5采购人在收到质疑函后7个工作日内作出答复，并以书面形式通知质疑供应商和其他有关供应商，但质疑答复的内容不涉及商业秘密。</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30、投诉</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质疑供应商对答复不满意或采购人未在规定时间内作出答复的，可在答复期满后15个工作日内向同级财政部门提起投诉。</w:t>
      </w:r>
      <w:r/>
    </w:p>
    <w:p>
      <w:pPr>
        <w:pStyle w:val="863"/>
        <w:jc w:val="both"/>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shd w:val="clear" w:color="auto" w:fill="ffffff"/>
        </w:rPr>
        <w:br w:type="page" w:clear="all"/>
      </w:r>
      <w:r/>
    </w:p>
    <w:p>
      <w:pPr>
        <w:pStyle w:val="863"/>
        <w:jc w:val="center"/>
        <w:keepLines/>
        <w:keepNext/>
        <w:pageBreakBefore/>
        <w:spacing w:before="0" w:beforeAutospacing="0" w:after="0" w:afterAutospacing="0" w:line="440" w:lineRule="exact"/>
        <w:rPr>
          <w:rFonts w:ascii="方正仿宋_GBK" w:hAnsi="方正仿宋_GBK" w:eastAsia="方正仿宋_GBK" w:cs="方正仿宋_GBK"/>
          <w:b/>
          <w:bCs/>
          <w:color w:val="auto"/>
          <w:sz w:val="30"/>
          <w:szCs w:val="30"/>
          <w:highlight w:val="none"/>
        </w:rPr>
        <w:outlineLvl w:val="0"/>
      </w:pPr>
      <w:r/>
      <w:bookmarkStart w:id="105" w:name="_Toc81575164"/>
      <w:r/>
      <w:bookmarkStart w:id="106" w:name="_Toc81575201"/>
      <w:r/>
      <w:bookmarkStart w:id="107" w:name="_Toc6455"/>
      <w:r>
        <w:rPr>
          <w:rFonts w:hint="eastAsia" w:ascii="方正仿宋_GBK" w:hAnsi="方正仿宋_GBK" w:eastAsia="方正仿宋_GBK" w:cs="方正仿宋_GBK"/>
          <w:b/>
          <w:bCs/>
          <w:color w:val="auto"/>
          <w:sz w:val="30"/>
          <w:szCs w:val="30"/>
          <w:highlight w:val="none"/>
        </w:rPr>
        <w:t xml:space="preserve">第三部分  资格审查及评标办法</w:t>
      </w:r>
      <w:bookmarkEnd w:id="105"/>
      <w:r/>
      <w:bookmarkEnd w:id="106"/>
      <w:r/>
      <w:bookmarkEnd w:id="107"/>
      <w:r/>
      <w:r/>
    </w:p>
    <w:p>
      <w:pPr>
        <w:pStyle w:val="863"/>
        <w:ind w:firstLine="643"/>
        <w:jc w:val="both"/>
        <w:spacing w:before="0" w:beforeAutospacing="0" w:after="0" w:afterAutospacing="0" w:line="440" w:lineRule="exact"/>
        <w:rPr>
          <w:rFonts w:ascii="宋体" w:hAnsi="宋体" w:cs="宋体"/>
          <w:color w:val="auto"/>
          <w:highlight w:val="none"/>
        </w:rPr>
      </w:pPr>
      <w:r>
        <w:rPr>
          <w:rFonts w:hint="eastAsia" w:ascii="宋体" w:hAnsi="宋体" w:cs="宋体"/>
          <w:b/>
          <w:bCs/>
          <w:color w:val="auto"/>
          <w:highlight w:val="none"/>
          <w:shd w:val="clear" w:color="auto" w:fill="ffffff"/>
        </w:rPr>
        <w:t xml:space="preserve">一、资格审查</w:t>
      </w:r>
      <w:r/>
    </w:p>
    <w:p>
      <w:pPr>
        <w:pStyle w:val="863"/>
        <w:ind w:firstLine="420"/>
        <w:jc w:val="both"/>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shd w:val="clear" w:color="auto" w:fill="ffffff"/>
        </w:rPr>
        <w:t xml:space="preserve">资格审查人员按照下列指标对各投标人的资格进行审查，未通过审查的为无效标，不参与评标。</w:t>
      </w:r>
      <w:r/>
    </w:p>
    <w:tbl>
      <w:tblPr>
        <w:tblStyle w:val="661"/>
        <w:tblW w:w="9213"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791"/>
      </w:tblGrid>
      <w:tr>
        <w:trPr>
          <w:trHeight w:val="481"/>
        </w:trPr>
        <w:tc>
          <w:tcPr>
            <w:tcBorders>
              <w:top w:val="single" w:color="auto" w:sz="6" w:space="0"/>
              <w:left w:val="single" w:color="auto" w:sz="6" w:space="0"/>
              <w:bottom w:val="single" w:color="auto" w:sz="6" w:space="0"/>
              <w:right w:val="single" w:color="auto" w:sz="6" w:space="0"/>
            </w:tcBorders>
            <w:tcW w:w="4422" w:type="dxa"/>
            <w:vAlign w:val="center"/>
            <w:textDirection w:val="lrTb"/>
            <w:noWrap/>
          </w:tcPr>
          <w:p>
            <w:pPr>
              <w:jc w:val="center"/>
              <w:spacing w:line="440" w:lineRule="exact"/>
              <w:rPr>
                <w:rFonts w:ascii="宋体" w:hAnsi="宋体" w:cs="宋体"/>
                <w:b/>
                <w:bCs/>
                <w:color w:val="auto"/>
                <w:sz w:val="24"/>
                <w:highlight w:val="none"/>
              </w:rPr>
            </w:pPr>
            <w:r/>
            <w:bookmarkStart w:id="108" w:name="EB9af8278fd1df4f8591f0fad951f64ddb"/>
            <w:r>
              <w:rPr>
                <w:rFonts w:hint="eastAsia" w:ascii="宋体" w:hAnsi="宋体" w:cs="宋体"/>
                <w:b/>
                <w:bCs/>
                <w:color w:val="auto"/>
                <w:sz w:val="24"/>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791" w:type="dxa"/>
            <w:vAlign w:val="center"/>
            <w:textDirection w:val="lrTb"/>
            <w:noWrap/>
          </w:tcPr>
          <w:p>
            <w:pPr>
              <w:jc w:val="center"/>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审查标准</w:t>
            </w:r>
            <w:r/>
          </w:p>
        </w:tc>
      </w:tr>
      <w:tr>
        <w:trPr>
          <w:trHeight w:val="355"/>
        </w:trPr>
        <w:tc>
          <w:tcPr>
            <w:tcBorders>
              <w:top w:val="single" w:color="auto" w:sz="6" w:space="0"/>
              <w:left w:val="single" w:color="auto" w:sz="6" w:space="0"/>
              <w:bottom w:val="single" w:color="auto" w:sz="6" w:space="0"/>
              <w:right w:val="single" w:color="auto" w:sz="6" w:space="0"/>
            </w:tcBorders>
            <w:tcW w:w="4422" w:type="dxa"/>
            <w:vAlign w:val="center"/>
            <w:textDirection w:val="lrTb"/>
            <w:noWrap/>
          </w:tcPr>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投标声明及承诺函</w:t>
            </w:r>
            <w:r/>
          </w:p>
        </w:tc>
        <w:tc>
          <w:tcPr>
            <w:tcBorders>
              <w:top w:val="single" w:color="auto" w:sz="6" w:space="0"/>
              <w:left w:val="single" w:color="auto" w:sz="6" w:space="0"/>
              <w:bottom w:val="single" w:color="auto" w:sz="6" w:space="0"/>
              <w:right w:val="single" w:color="auto" w:sz="6" w:space="0"/>
            </w:tcBorders>
            <w:tcW w:w="4791" w:type="dxa"/>
            <w:vAlign w:val="center"/>
            <w:textDirection w:val="lrTb"/>
            <w:noWrap/>
          </w:tcPr>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符合招标文件要求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tcPr>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shd w:val="clear" w:color="auto" w:fill="auto"/>
            <w:tcBorders>
              <w:top w:val="single" w:color="auto" w:sz="6" w:space="0"/>
              <w:left w:val="single" w:color="auto" w:sz="6" w:space="0"/>
              <w:bottom w:val="single" w:color="auto" w:sz="6" w:space="0"/>
              <w:right w:val="single" w:color="auto" w:sz="6" w:space="0"/>
            </w:tcBorders>
            <w:tcW w:w="4791" w:type="dxa"/>
            <w:vAlign w:val="center"/>
            <w:textDirection w:val="lrTb"/>
            <w:noWrap/>
          </w:tcPr>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符合招标文件要求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tcPr>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信用信息</w:t>
            </w:r>
            <w:bookmarkEnd w:id="108"/>
            <w:r/>
            <w:r/>
          </w:p>
        </w:tc>
        <w:tc>
          <w:tcPr>
            <w:shd w:val="clear" w:color="auto" w:fill="auto"/>
            <w:tcBorders>
              <w:top w:val="single" w:color="auto" w:sz="6" w:space="0"/>
              <w:left w:val="single" w:color="auto" w:sz="6" w:space="0"/>
              <w:bottom w:val="single" w:color="auto" w:sz="6" w:space="0"/>
              <w:right w:val="single" w:color="auto" w:sz="6" w:space="0"/>
            </w:tcBorders>
            <w:tcW w:w="4791" w:type="dxa"/>
            <w:vAlign w:val="center"/>
            <w:textDirection w:val="lrTb"/>
            <w:noWrap/>
          </w:tcPr>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tcPr>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联合体投标</w:t>
            </w:r>
            <w:r/>
          </w:p>
        </w:tc>
        <w:tc>
          <w:tcPr>
            <w:tcBorders>
              <w:top w:val="single" w:color="auto" w:sz="6" w:space="0"/>
              <w:left w:val="single" w:color="auto" w:sz="6" w:space="0"/>
              <w:bottom w:val="single" w:color="auto" w:sz="6" w:space="0"/>
              <w:right w:val="single" w:color="auto" w:sz="6" w:space="0"/>
            </w:tcBorders>
            <w:tcW w:w="4791" w:type="dxa"/>
            <w:vAlign w:val="center"/>
            <w:textDirection w:val="lrTb"/>
            <w:noWrap/>
          </w:tcPr>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本项目不接受联合体</w:t>
            </w:r>
            <w:r/>
          </w:p>
        </w:tc>
      </w:tr>
    </w:tbl>
    <w:p>
      <w:pPr>
        <w:pStyle w:val="863"/>
        <w:ind w:firstLine="643"/>
        <w:jc w:val="both"/>
        <w:spacing w:before="0" w:beforeAutospacing="0" w:after="0" w:afterAutospacing="0" w:line="440" w:lineRule="exact"/>
        <w:rPr>
          <w:rFonts w:ascii="宋体" w:hAnsi="宋体" w:cs="宋体"/>
          <w:color w:val="auto"/>
          <w:highlight w:val="none"/>
        </w:rPr>
      </w:pPr>
      <w:r>
        <w:rPr>
          <w:rFonts w:hint="eastAsia" w:ascii="宋体" w:hAnsi="宋体" w:cs="宋体"/>
          <w:b/>
          <w:bCs/>
          <w:color w:val="auto"/>
          <w:highlight w:val="none"/>
          <w:shd w:val="clear" w:color="auto" w:fill="ffffff"/>
        </w:rPr>
        <w:t xml:space="preserve">二、评分办法—综合评分法</w:t>
      </w:r>
      <w:r/>
    </w:p>
    <w:p>
      <w:pPr>
        <w:pStyle w:val="863"/>
        <w:ind w:firstLine="482"/>
        <w:spacing w:before="0" w:beforeAutospacing="0" w:after="0" w:afterAutospacing="0" w:line="440" w:lineRule="exact"/>
        <w:rPr>
          <w:rFonts w:ascii="宋体" w:hAnsi="宋体" w:cs="宋体"/>
          <w:color w:val="auto"/>
          <w:highlight w:val="none"/>
        </w:rPr>
      </w:pPr>
      <w:r>
        <w:rPr>
          <w:rFonts w:hint="eastAsia" w:ascii="宋体" w:hAnsi="宋体" w:cs="宋体"/>
          <w:b/>
          <w:bCs/>
          <w:color w:val="auto"/>
          <w:highlight w:val="none"/>
          <w:shd w:val="clear" w:color="auto" w:fill="ffffff"/>
        </w:rPr>
        <w:t xml:space="preserve">1、评标办法：</w:t>
      </w:r>
      <w:r>
        <w:rPr>
          <w:rFonts w:hint="eastAsia" w:ascii="宋体" w:hAnsi="宋体" w:cs="宋体"/>
          <w:color w:val="auto"/>
          <w:highlight w:val="none"/>
          <w:shd w:val="clear" w:color="auto" w:fill="ffffff"/>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pStyle w:val="863"/>
        <w:ind w:firstLine="480"/>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shd w:val="clear" w:color="auto" w:fill="ffffff"/>
        </w:rPr>
        <w:t xml:space="preserve">评标委员会根据评审后投标人排序推荐中标候选人。投标文件满足招标文件全部实质性要求，且评审后排序第一的投标人为第一中标候选人，依次类推。</w:t>
      </w:r>
      <w:r/>
    </w:p>
    <w:p>
      <w:pPr>
        <w:pStyle w:val="863"/>
        <w:ind w:firstLine="480"/>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shd w:val="clear" w:color="auto" w:fill="ffffff"/>
        </w:rPr>
        <w:t xml:space="preserve">综合评分保留至小数点后两位。 </w:t>
      </w:r>
      <w:r/>
    </w:p>
    <w:p>
      <w:pPr>
        <w:pStyle w:val="863"/>
        <w:ind w:firstLine="482"/>
        <w:spacing w:before="0" w:beforeAutospacing="0" w:after="0" w:afterAutospacing="0" w:line="440" w:lineRule="exact"/>
        <w:rPr>
          <w:rFonts w:ascii="宋体" w:hAnsi="宋体" w:cs="宋体"/>
          <w:color w:val="auto"/>
          <w:highlight w:val="none"/>
        </w:rPr>
      </w:pPr>
      <w:r>
        <w:rPr>
          <w:rFonts w:hint="eastAsia" w:ascii="宋体" w:hAnsi="宋体" w:cs="宋体"/>
          <w:b/>
          <w:bCs/>
          <w:color w:val="auto"/>
          <w:highlight w:val="none"/>
          <w:shd w:val="clear" w:color="auto" w:fill="ffffff"/>
        </w:rPr>
        <w:t xml:space="preserve">2、符合性审查。</w:t>
      </w:r>
      <w:r>
        <w:rPr>
          <w:rFonts w:hint="eastAsia" w:ascii="宋体" w:hAnsi="宋体" w:cs="宋体"/>
          <w:color w:val="auto"/>
          <w:highlight w:val="none"/>
          <w:shd w:val="clear" w:color="auto" w:fill="ffffff"/>
        </w:rPr>
        <w:t xml:space="preserve">评标委员会首先按照下列指标对各投标人的投标文件进行符合性审查，未通过审查的为无效标，不再参与评审。</w:t>
      </w:r>
      <w:r/>
    </w:p>
    <w:tbl>
      <w:tblPr>
        <w:tblStyle w:val="661"/>
        <w:tblW w:w="9213"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849"/>
      </w:tblGrid>
      <w:tr>
        <w:trPr>
          <w:trHeight w:val="576"/>
        </w:trPr>
        <w:tc>
          <w:tcPr>
            <w:tcBorders>
              <w:top w:val="single" w:color="auto" w:sz="6" w:space="0"/>
              <w:left w:val="single" w:color="auto" w:sz="6" w:space="0"/>
              <w:bottom w:val="single" w:color="auto" w:sz="6" w:space="0"/>
              <w:right w:val="single" w:color="auto" w:sz="6" w:space="0"/>
            </w:tcBorders>
            <w:tcW w:w="4364" w:type="dxa"/>
            <w:vAlign w:val="center"/>
            <w:textDirection w:val="lrTb"/>
            <w:noWrap/>
          </w:tcPr>
          <w:p>
            <w:pPr>
              <w:ind w:firstLine="480"/>
              <w:jc w:val="center"/>
              <w:spacing w:line="440" w:lineRule="exact"/>
              <w:rPr>
                <w:rFonts w:ascii="宋体" w:hAnsi="宋体" w:cs="宋体"/>
                <w:b/>
                <w:bCs/>
                <w:color w:val="auto"/>
                <w:sz w:val="24"/>
                <w:highlight w:val="none"/>
              </w:rPr>
            </w:pPr>
            <w:r/>
            <w:bookmarkStart w:id="109" w:name="EB75d0996a6f1d4348a21f8c3293010436"/>
            <w:r>
              <w:rPr>
                <w:rFonts w:hint="eastAsia" w:ascii="宋体" w:hAnsi="宋体" w:cs="宋体"/>
                <w:b/>
                <w:bCs/>
                <w:color w:val="auto"/>
                <w:sz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849" w:type="dxa"/>
            <w:vAlign w:val="center"/>
            <w:textDirection w:val="lrTb"/>
            <w:noWrap/>
          </w:tcPr>
          <w:p>
            <w:pPr>
              <w:ind w:firstLine="480"/>
              <w:jc w:val="center"/>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tcPr>
          <w:p>
            <w:pPr>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849" w:type="dxa"/>
            <w:vAlign w:val="center"/>
            <w:textDirection w:val="lrTb"/>
            <w:noWrap/>
          </w:tcPr>
          <w:p>
            <w:pPr>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tcPr>
          <w:p>
            <w:pPr>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技术标准和要求</w:t>
            </w:r>
            <w:r/>
          </w:p>
        </w:tc>
        <w:tc>
          <w:tcPr>
            <w:tcBorders>
              <w:top w:val="single" w:color="auto" w:sz="6" w:space="0"/>
              <w:left w:val="single" w:color="auto" w:sz="6" w:space="0"/>
              <w:bottom w:val="single" w:color="auto" w:sz="6" w:space="0"/>
              <w:right w:val="single" w:color="auto" w:sz="6" w:space="0"/>
            </w:tcBorders>
            <w:tcW w:w="4849" w:type="dxa"/>
            <w:vAlign w:val="center"/>
            <w:textDirection w:val="lrTb"/>
            <w:noWrap/>
          </w:tcPr>
          <w:p>
            <w:pPr>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tcPr>
          <w:p>
            <w:pPr>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其他</w:t>
            </w:r>
            <w:r/>
          </w:p>
        </w:tc>
        <w:tc>
          <w:tcPr>
            <w:tcBorders>
              <w:top w:val="single" w:color="auto" w:sz="6" w:space="0"/>
              <w:left w:val="single" w:color="auto" w:sz="6" w:space="0"/>
              <w:bottom w:val="single" w:color="auto" w:sz="6" w:space="0"/>
              <w:right w:val="single" w:color="auto" w:sz="6" w:space="0"/>
            </w:tcBorders>
            <w:tcW w:w="4849" w:type="dxa"/>
            <w:vAlign w:val="center"/>
            <w:textDirection w:val="lrTb"/>
            <w:noWrap/>
          </w:tcPr>
          <w:p>
            <w:pPr>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符合招标文件要求</w:t>
            </w:r>
            <w:bookmarkEnd w:id="109"/>
            <w:r/>
            <w:r/>
          </w:p>
        </w:tc>
      </w:tr>
    </w:tbl>
    <w:p>
      <w:pPr>
        <w:pStyle w:val="863"/>
        <w:ind w:firstLine="482"/>
        <w:spacing w:before="0" w:beforeAutospacing="0" w:after="0" w:afterAutospacing="0" w:line="440" w:lineRule="exact"/>
        <w:rPr>
          <w:rFonts w:ascii="宋体" w:hAnsi="宋体" w:cs="宋体"/>
          <w:color w:val="auto"/>
          <w:highlight w:val="none"/>
          <w:shd w:val="clear" w:color="auto" w:fill="ffffff"/>
        </w:rPr>
      </w:pPr>
      <w:r>
        <w:rPr>
          <w:rFonts w:hint="eastAsia" w:ascii="宋体" w:hAnsi="宋体" w:cs="宋体"/>
          <w:b/>
          <w:bCs/>
          <w:color w:val="auto"/>
          <w:highlight w:val="none"/>
          <w:shd w:val="clear" w:color="auto" w:fill="ffffff"/>
        </w:rPr>
        <w:t xml:space="preserve">详细评审。</w:t>
      </w:r>
      <w:r>
        <w:rPr>
          <w:rFonts w:hint="eastAsia" w:ascii="宋体" w:hAnsi="宋体" w:cs="宋体"/>
          <w:color w:val="auto"/>
          <w:highlight w:val="none"/>
          <w:shd w:val="clear" w:color="auto" w:fill="ffffff"/>
        </w:rPr>
        <w:t xml:space="preserve">评标委员会按照招标文件规定的评分标准，对各投标文件进行详细评审打分。评标委员会组长对各评审专家的打分情况进行复核无误后汇总，形成评审报告。</w:t>
      </w:r>
      <w:r/>
    </w:p>
    <w:tbl>
      <w:tblPr>
        <w:tblStyle w:val="661"/>
        <w:tblW w:w="5562" w:type="pct"/>
        <w:tblInd w:w="-1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784"/>
        <w:gridCol w:w="1246"/>
        <w:gridCol w:w="1036"/>
        <w:gridCol w:w="6207"/>
      </w:tblGrid>
      <w:tr>
        <w:trPr>
          <w:trHeight w:val="90"/>
        </w:trPr>
        <w:tc>
          <w:tcPr>
            <w:gridSpan w:val="2"/>
            <w:tcW w:w="2023"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评审因素</w:t>
            </w:r>
            <w:r/>
          </w:p>
        </w:tc>
        <w:tc>
          <w:tcPr>
            <w:tcW w:w="1032"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分数</w:t>
            </w:r>
            <w:r/>
          </w:p>
        </w:tc>
        <w:tc>
          <w:tcPr>
            <w:tcW w:w="6185"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评审标准</w:t>
            </w:r>
            <w:r/>
          </w:p>
        </w:tc>
      </w:tr>
      <w:tr>
        <w:trPr>
          <w:trHeight w:val="463"/>
        </w:trPr>
        <w:tc>
          <w:tcPr>
            <w:tcW w:w="781"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报价分</w:t>
            </w:r>
            <w:r/>
          </w:p>
        </w:tc>
        <w:tc>
          <w:tcPr>
            <w:tcW w:w="1242"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投标报价</w:t>
            </w:r>
            <w:r/>
          </w:p>
        </w:tc>
        <w:tc>
          <w:tcPr>
            <w:tcW w:w="1032"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10.00</w:t>
            </w:r>
            <w:r/>
          </w:p>
        </w:tc>
        <w:tc>
          <w:tcPr>
            <w:tcW w:w="6185" w:type="dxa"/>
            <w:vAlign w:val="center"/>
            <w:textDirection w:val="lrTb"/>
            <w:noWrap/>
          </w:tcPr>
          <w:p>
            <w:pPr>
              <w:spacing w:line="400" w:lineRule="exact"/>
              <w:rPr>
                <w:color w:val="auto"/>
                <w:highlight w:val="none"/>
              </w:rPr>
            </w:pPr>
            <w:r>
              <w:rPr>
                <w:rFonts w:hint="eastAsia" w:ascii="宋体" w:hAnsi="宋体" w:cs="宋体"/>
                <w:color w:val="auto"/>
                <w:sz w:val="24"/>
                <w:highlight w:val="none"/>
              </w:rPr>
              <w:t xml:space="preserve">采用低价优先法计算，即满足招标文件要求且投标价格最低的投标报价为评标基准价，其价格分为满分。其他投标人投标报价得分＝（评标基准价/投标报价）×10。最终计算结果四舍五入保留至小数点后两位。</w:t>
            </w:r>
            <w:r/>
          </w:p>
        </w:tc>
      </w:tr>
      <w:tr>
        <w:trPr>
          <w:trHeight w:val="386"/>
        </w:trPr>
        <w:tc>
          <w:tcPr>
            <w:tcW w:w="781"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技术响应</w:t>
            </w:r>
            <w:r/>
          </w:p>
        </w:tc>
        <w:tc>
          <w:tcPr>
            <w:tcW w:w="1242"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技术要求响应</w:t>
            </w:r>
            <w:r/>
          </w:p>
        </w:tc>
        <w:tc>
          <w:tcPr>
            <w:tcW w:w="1032"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54.00</w:t>
            </w:r>
            <w:r/>
          </w:p>
        </w:tc>
        <w:tc>
          <w:tcPr>
            <w:tcW w:w="6185" w:type="dxa"/>
            <w:vAlign w:val="center"/>
            <w:textDirection w:val="lrTb"/>
            <w:noWrap/>
          </w:tcPr>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针对招标文件“第四部分、采购需求”中的“技术要求”所列内容进行评分，所投产品技术要求完全满足或优于招标文件技术要求的得54分。标★为是实质性响应参数（共1条）不响应为无效标。标▲为重要参数（共5条,计9分），每有一项不满足的扣1.8分；标＃为一般参数（共60条，计45分），每有一项不满足的扣0.75分。</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注：（1）投标人需详尽真实的提供投标产品的《技术要求响应及偏离表》，且均需在技术要求响应及偏离表内详尽真实的逐条提供偏差情况，否则将视为无响应或无效响应。</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（2）有指定证明材料要求的未按指定要求提供相关证明材料的将视为无效响应。</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（3）无指定证明材料要求的以加盖投标人公章的《技术要求响应及偏离表》为准。</w:t>
            </w:r>
            <w:r/>
          </w:p>
        </w:tc>
      </w:tr>
      <w:tr>
        <w:trPr>
          <w:trHeight w:val="923"/>
        </w:trPr>
        <w:tc>
          <w:tcPr>
            <w:tcW w:w="781" w:type="dxa"/>
            <w:vAlign w:val="center"/>
            <w:vMerge w:val="restart"/>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企业经营业绩、能力</w:t>
            </w:r>
            <w:r/>
          </w:p>
        </w:tc>
        <w:tc>
          <w:tcPr>
            <w:tcW w:w="1242"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企业业绩</w:t>
            </w:r>
            <w:r/>
          </w:p>
        </w:tc>
        <w:tc>
          <w:tcPr>
            <w:tcW w:w="1032"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.00</w:t>
            </w:r>
            <w:r/>
          </w:p>
        </w:tc>
        <w:tc>
          <w:tcPr>
            <w:tcW w:w="6185" w:type="dxa"/>
            <w:vAlign w:val="center"/>
            <w:textDirection w:val="lrTb"/>
            <w:noWrap/>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投标人自2022年01月01日以来（以合同签订时间为准）承接过类似业绩的，每提供一个得2分，本项最高得8分。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注：（1）投标人需提供业绩证明材料至投标文件，证明材料原件扫描件需包含中标（或成交）通知书、合同（或者合同协议书）、采购人履约评价（或者验收合格报告或者验收合格证明），三者缺一不可，未提供或提供不全或模糊不清无法辨认均不予计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（2）合同甲方履约评价中出现“不满意”或“差”或“不合格”或同等意思表达的，该业绩不得分。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（3）投标人提供的企业业绩将随中标结果公告同步公开。</w:t>
            </w:r>
            <w:r/>
          </w:p>
        </w:tc>
      </w:tr>
      <w:tr>
        <w:trPr>
          <w:trHeight w:val="923"/>
        </w:trPr>
        <w:tc>
          <w:tcPr>
            <w:tcW w:w="781" w:type="dxa"/>
            <w:vAlign w:val="center"/>
            <w:vMerge w:val="continue"/>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242" w:type="dxa"/>
            <w:vAlign w:val="center"/>
            <w:textDirection w:val="lrTb"/>
            <w:noWrap/>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环境标志、节能产品</w:t>
            </w:r>
            <w:r/>
          </w:p>
        </w:tc>
        <w:tc>
          <w:tcPr>
            <w:tcW w:w="1032" w:type="dxa"/>
            <w:vAlign w:val="center"/>
            <w:textDirection w:val="lrTb"/>
            <w:noWrap/>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1.00分</w:t>
            </w:r>
            <w:r/>
          </w:p>
        </w:tc>
        <w:tc>
          <w:tcPr>
            <w:tcW w:w="6185" w:type="dxa"/>
            <w:vAlign w:val="center"/>
            <w:textDirection w:val="lrTb"/>
            <w:noWrap/>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1、投标产品在财政部、生态环境部公布的“环境标志产品政府采购品目清单”内，且投标文件中提供国家市场监督管理局确定的列入“参与实施政府采购环境标志产品认证机构名录 ” 内的认证机构出具的、有效期内的该产品环境标志产品认证证书电子件的得0.5分。未提供的不得分。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得0.5分。未提供的不得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注：中标人提供的节能环保证书将随中标结果同步公开。</w:t>
            </w:r>
            <w:r/>
          </w:p>
        </w:tc>
      </w:tr>
      <w:tr>
        <w:trPr>
          <w:trHeight w:val="1076"/>
        </w:trPr>
        <w:tc>
          <w:tcPr>
            <w:tcW w:w="781" w:type="dxa"/>
            <w:vAlign w:val="center"/>
            <w:vMerge w:val="restart"/>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项目实施</w:t>
            </w:r>
            <w:r/>
          </w:p>
        </w:tc>
        <w:tc>
          <w:tcPr>
            <w:tcW w:w="1242" w:type="dxa"/>
            <w:vAlign w:val="center"/>
            <w:textDirection w:val="lrTb"/>
            <w:noWrap/>
          </w:tcPr>
          <w:p>
            <w:pPr>
              <w:jc w:val="center"/>
              <w:spacing w:line="480" w:lineRule="exact"/>
              <w:rPr>
                <w:rFonts w:ascii="宋体" w:hAnsi="宋体" w:cs="宋体"/>
                <w:color w:val="auto"/>
                <w:sz w:val="24"/>
                <w:highlight w:val="none"/>
              </w:rPr>
            </w:pPr>
            <w:r>
              <w:rPr>
                <w:rFonts w:hint="eastAsia" w:ascii="宋体" w:hAnsi="宋体" w:cs="宋体"/>
                <w:color w:val="auto"/>
                <w:sz w:val="24"/>
                <w:highlight w:val="none"/>
              </w:rPr>
              <w:t xml:space="preserve">项目组人员</w:t>
            </w:r>
            <w:r/>
          </w:p>
        </w:tc>
        <w:tc>
          <w:tcPr>
            <w:tcW w:w="1032" w:type="dxa"/>
            <w:vAlign w:val="center"/>
            <w:textDirection w:val="lrTb"/>
            <w:noWrap/>
          </w:tcPr>
          <w:p>
            <w:pPr>
              <w:jc w:val="center"/>
              <w:spacing w:line="48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.00</w:t>
            </w:r>
            <w:r/>
          </w:p>
        </w:tc>
        <w:tc>
          <w:tcPr>
            <w:tcW w:w="6185" w:type="dxa"/>
            <w:vAlign w:val="center"/>
            <w:textDirection w:val="lrTb"/>
            <w:noWrap/>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1、投标人针对本项目拟派的项目组成员具有网络工程师证书、信息系统项目管理师证书，每有一个得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分，最高得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2、投标人针对本项目拟派的项目组成员具有电工证，每有一个得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分，最高得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注：（1）以上项目组成员必须为本单位员工，需提供2025年3月1日以来内任意一个月社保部门出具的投标人为其缴纳社会养老保险证明材料，否则不得分。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（2）以上项目组成员中同一人员具备上述多种证书的，不重复计分；同一证书多人具备的，不重复计分。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（3）以上项目组成员的证书均须提供原件扫描件，未提供的本项不得分。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（4）投标人提供的项目组成员信息将随中标结果公告同步公开。 </w:t>
            </w:r>
            <w:r/>
          </w:p>
        </w:tc>
      </w:tr>
      <w:tr>
        <w:trPr>
          <w:trHeight w:val="1076"/>
        </w:trPr>
        <w:tc>
          <w:tcPr>
            <w:tcW w:w="781" w:type="dxa"/>
            <w:vAlign w:val="center"/>
            <w:vMerge w:val="continue"/>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242" w:type="dxa"/>
            <w:vAlign w:val="center"/>
            <w:textDirection w:val="lrTb"/>
            <w:noWrap/>
          </w:tcPr>
          <w:p>
            <w:pPr>
              <w:jc w:val="center"/>
              <w:spacing w:line="480" w:lineRule="exact"/>
              <w:rPr>
                <w:rFonts w:ascii="宋体" w:hAnsi="宋体" w:cs="宋体"/>
                <w:color w:val="auto"/>
                <w:sz w:val="24"/>
                <w:highlight w:val="none"/>
              </w:rPr>
            </w:pPr>
            <w:r>
              <w:rPr>
                <w:rFonts w:hint="eastAsia" w:ascii="宋体" w:hAnsi="宋体" w:cs="宋体"/>
                <w:color w:val="auto"/>
                <w:sz w:val="24"/>
                <w:highlight w:val="none"/>
              </w:rPr>
              <w:t xml:space="preserve">进度安排</w:t>
            </w:r>
            <w:r/>
          </w:p>
        </w:tc>
        <w:tc>
          <w:tcPr>
            <w:tcW w:w="1032" w:type="dxa"/>
            <w:vAlign w:val="center"/>
            <w:textDirection w:val="lrTb"/>
            <w:noWrap/>
          </w:tcPr>
          <w:p>
            <w:pPr>
              <w:jc w:val="center"/>
              <w:spacing w:line="480" w:lineRule="exact"/>
              <w:rPr>
                <w:rFonts w:ascii="宋体" w:hAnsi="宋体" w:cs="宋体"/>
                <w:color w:val="auto"/>
                <w:sz w:val="24"/>
                <w:highlight w:val="none"/>
              </w:rPr>
            </w:pPr>
            <w:r>
              <w:rPr>
                <w:rFonts w:hint="eastAsia" w:ascii="宋体" w:hAnsi="宋体" w:cs="宋体"/>
                <w:color w:val="auto"/>
                <w:sz w:val="24"/>
                <w:highlight w:val="none"/>
              </w:rPr>
              <w:t xml:space="preserve">5.00</w:t>
            </w:r>
            <w:r/>
          </w:p>
        </w:tc>
        <w:tc>
          <w:tcPr>
            <w:tcW w:w="6185" w:type="dxa"/>
            <w:vAlign w:val="center"/>
            <w:textDirection w:val="lrTb"/>
            <w:noWrap/>
          </w:tcPr>
          <w:p>
            <w:pPr>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根据招标文件“第四章、采购需求—项目实施要求”中“进度安排”制定进度安排方案：方案合理且优于采购需求的得5分；进度安排基本详实,能够满足采购需求的得3分；进度安排方案不完整承诺后期优化能满足采购基本要求的得1分；没有内容不得分。</w:t>
            </w:r>
            <w:r/>
          </w:p>
        </w:tc>
      </w:tr>
      <w:tr>
        <w:trPr>
          <w:trHeight w:val="1076"/>
        </w:trPr>
        <w:tc>
          <w:tcPr>
            <w:tcW w:w="781" w:type="dxa"/>
            <w:vAlign w:val="center"/>
            <w:vMerge w:val="continue"/>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242" w:type="dxa"/>
            <w:vAlign w:val="center"/>
            <w:textDirection w:val="lrTb"/>
            <w:noWrap/>
          </w:tcPr>
          <w:p>
            <w:pPr>
              <w:jc w:val="center"/>
              <w:spacing w:line="480" w:lineRule="exact"/>
              <w:rPr>
                <w:rFonts w:ascii="宋体" w:hAnsi="宋体" w:cs="宋体"/>
                <w:color w:val="auto"/>
                <w:sz w:val="24"/>
                <w:highlight w:val="none"/>
              </w:rPr>
            </w:pPr>
            <w:r>
              <w:rPr>
                <w:rFonts w:hint="eastAsia" w:ascii="宋体" w:hAnsi="宋体" w:cs="宋体"/>
                <w:color w:val="auto"/>
                <w:sz w:val="24"/>
                <w:highlight w:val="none"/>
              </w:rPr>
              <w:t xml:space="preserve">质量保障</w:t>
            </w:r>
            <w:r/>
          </w:p>
        </w:tc>
        <w:tc>
          <w:tcPr>
            <w:tcW w:w="1032" w:type="dxa"/>
            <w:vAlign w:val="center"/>
            <w:textDirection w:val="lrTb"/>
            <w:noWrap/>
          </w:tcPr>
          <w:p>
            <w:pPr>
              <w:jc w:val="center"/>
              <w:spacing w:line="480" w:lineRule="exact"/>
              <w:rPr>
                <w:rFonts w:ascii="宋体" w:hAnsi="宋体" w:cs="宋体"/>
                <w:color w:val="auto"/>
                <w:sz w:val="24"/>
                <w:highlight w:val="none"/>
              </w:rPr>
            </w:pPr>
            <w:r>
              <w:rPr>
                <w:rFonts w:hint="eastAsia" w:ascii="宋体" w:hAnsi="宋体" w:cs="宋体"/>
                <w:color w:val="auto"/>
                <w:sz w:val="24"/>
                <w:highlight w:val="none"/>
              </w:rPr>
              <w:t xml:space="preserve">5.00</w:t>
            </w:r>
            <w:r/>
          </w:p>
        </w:tc>
        <w:tc>
          <w:tcPr>
            <w:tcW w:w="6185" w:type="dxa"/>
            <w:vAlign w:val="center"/>
            <w:textDirection w:val="lrTb"/>
            <w:noWrap/>
          </w:tcPr>
          <w:p>
            <w:pPr>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根据招标文件“第四章、采购需求—项目实施要求”中“质量保障措施”制定质量保障措施：措施内容详细全面优于采购需求的得5分；方案内容基本详实，能够满足采购需求的得3分；方案内容不完整承诺后期优化能够满足采购需求的得1分。没有内容的不得分。</w:t>
            </w:r>
            <w:r/>
          </w:p>
        </w:tc>
      </w:tr>
      <w:tr>
        <w:trPr>
          <w:trHeight w:val="558"/>
        </w:trPr>
        <w:tc>
          <w:tcPr>
            <w:tcW w:w="781" w:type="dxa"/>
            <w:vAlign w:val="center"/>
            <w:vMerge w:val="continue"/>
            <w:textDirection w:val="lrTb"/>
            <w:noWrap/>
          </w:tcPr>
          <w:p>
            <w:pPr>
              <w:jc w:val="center"/>
              <w:spacing w:line="400" w:lineRule="exact"/>
              <w:rPr>
                <w:rFonts w:ascii="宋体" w:hAnsi="宋体" w:cs="宋体"/>
                <w:color w:val="auto"/>
                <w:sz w:val="24"/>
                <w:highlight w:val="none"/>
                <w:lang w:val="zh-CN"/>
              </w:rPr>
            </w:pPr>
            <w:r>
              <w:rPr>
                <w:rFonts w:ascii="宋体" w:hAnsi="宋体" w:cs="宋体"/>
                <w:color w:val="auto"/>
                <w:sz w:val="24"/>
                <w:highlight w:val="none"/>
                <w:lang w:val="zh-CN"/>
              </w:rPr>
            </w:r>
            <w:r/>
          </w:p>
        </w:tc>
        <w:tc>
          <w:tcPr>
            <w:tcW w:w="1242" w:type="dxa"/>
            <w:vAlign w:val="center"/>
            <w:textDirection w:val="lrTb"/>
            <w:noWrap/>
          </w:tcPr>
          <w:p>
            <w:pPr>
              <w:jc w:val="center"/>
              <w:spacing w:line="480" w:lineRule="exact"/>
              <w:rPr>
                <w:rFonts w:ascii="宋体" w:hAnsi="宋体" w:cs="宋体"/>
                <w:color w:val="auto"/>
                <w:sz w:val="24"/>
                <w:highlight w:val="none"/>
              </w:rPr>
            </w:pPr>
            <w:r>
              <w:rPr>
                <w:rFonts w:hint="eastAsia" w:ascii="宋体" w:hAnsi="宋体" w:cs="宋体"/>
                <w:color w:val="auto"/>
                <w:sz w:val="24"/>
                <w:highlight w:val="none"/>
              </w:rPr>
              <w:t xml:space="preserve">安装及调试</w:t>
            </w:r>
            <w:r/>
          </w:p>
        </w:tc>
        <w:tc>
          <w:tcPr>
            <w:tcW w:w="1032" w:type="dxa"/>
            <w:vAlign w:val="center"/>
            <w:textDirection w:val="lrTb"/>
            <w:noWrap/>
          </w:tcPr>
          <w:p>
            <w:pPr>
              <w:jc w:val="center"/>
              <w:spacing w:line="480" w:lineRule="exact"/>
              <w:rPr>
                <w:rFonts w:ascii="宋体" w:hAnsi="宋体" w:cs="宋体"/>
                <w:color w:val="auto"/>
                <w:sz w:val="24"/>
                <w:highlight w:val="none"/>
              </w:rPr>
            </w:pPr>
            <w:r>
              <w:rPr>
                <w:rFonts w:hint="eastAsia" w:ascii="宋体" w:hAnsi="宋体" w:cs="宋体"/>
                <w:color w:val="auto"/>
                <w:sz w:val="24"/>
                <w:highlight w:val="none"/>
              </w:rPr>
              <w:t xml:space="preserve">5.00</w:t>
            </w:r>
            <w:r/>
          </w:p>
        </w:tc>
        <w:tc>
          <w:tcPr>
            <w:tcW w:w="6185" w:type="dxa"/>
            <w:vAlign w:val="center"/>
            <w:textDirection w:val="lrTb"/>
            <w:noWrap/>
          </w:tcPr>
          <w:p>
            <w:pPr>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投标人根据招标文件“第四章、采购需求—项目实施要求”中“安装及调试”制定安装及调试方案：方案全面、准确、清晰，优于采购需求的，得5分；方案相对全面能够满足采购需求的，得3 分；方案内容不完善但承诺后期优化能够满足采购需求的，得1分。没有内容的不得分。</w:t>
            </w:r>
            <w:r/>
          </w:p>
        </w:tc>
      </w:tr>
      <w:tr>
        <w:trPr>
          <w:trHeight w:val="558"/>
        </w:trPr>
        <w:tc>
          <w:tcPr>
            <w:tcW w:w="781" w:type="dxa"/>
            <w:vAlign w:val="center"/>
            <w:vMerge w:val="continue"/>
            <w:textDirection w:val="lrTb"/>
            <w:noWrap/>
          </w:tcPr>
          <w:p>
            <w:pPr>
              <w:jc w:val="center"/>
              <w:spacing w:line="400" w:lineRule="exact"/>
              <w:rPr>
                <w:rFonts w:ascii="宋体" w:hAnsi="宋体" w:cs="宋体"/>
                <w:color w:val="auto"/>
                <w:sz w:val="24"/>
                <w:highlight w:val="none"/>
                <w:lang w:val="zh-CN"/>
              </w:rPr>
            </w:pPr>
            <w:r>
              <w:rPr>
                <w:rFonts w:ascii="宋体" w:hAnsi="宋体" w:cs="宋体"/>
                <w:color w:val="auto"/>
                <w:sz w:val="24"/>
                <w:highlight w:val="none"/>
                <w:lang w:val="zh-CN"/>
              </w:rPr>
            </w:r>
            <w:r/>
          </w:p>
        </w:tc>
        <w:tc>
          <w:tcPr>
            <w:tcW w:w="1242" w:type="dxa"/>
            <w:vAlign w:val="center"/>
            <w:textDirection w:val="lrTb"/>
            <w:noWrap/>
          </w:tcPr>
          <w:p>
            <w:pPr>
              <w:jc w:val="center"/>
              <w:spacing w:line="48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突发应急事件处置</w:t>
            </w:r>
            <w:r/>
          </w:p>
        </w:tc>
        <w:tc>
          <w:tcPr>
            <w:tcW w:w="1032" w:type="dxa"/>
            <w:vAlign w:val="center"/>
            <w:textDirection w:val="lrTb"/>
            <w:noWrap/>
          </w:tcPr>
          <w:p>
            <w:pPr>
              <w:jc w:val="center"/>
              <w:spacing w:line="48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4.00</w:t>
            </w:r>
            <w:r/>
          </w:p>
        </w:tc>
        <w:tc>
          <w:tcPr>
            <w:tcW w:w="6185" w:type="dxa"/>
            <w:vAlign w:val="center"/>
            <w:textDirection w:val="lrTb"/>
            <w:noWrap/>
          </w:tcPr>
          <w:p>
            <w:pPr>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投标人根据招标文件“第四章、采购需求—项目实施要求”中“突发应急事件处置”制定突发应急事件处置方案：方案全面、准确、清晰，优于采购需求的，得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分；方案相对全面能够满足采购需求的，得3 分；方案内容不完善但承诺后期优化能够满足采购需求的，得1分。没有内容的不得分。</w:t>
            </w:r>
            <w:r/>
          </w:p>
        </w:tc>
      </w:tr>
      <w:tr>
        <w:trPr>
          <w:trHeight w:val="558"/>
        </w:trPr>
        <w:tc>
          <w:tcPr>
            <w:tcW w:w="781"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其他</w:t>
            </w:r>
            <w:r/>
          </w:p>
        </w:tc>
        <w:tc>
          <w:tcPr>
            <w:tcW w:w="1242" w:type="dxa"/>
            <w:vAlign w:val="center"/>
            <w:textDirection w:val="lrTb"/>
            <w:noWrap/>
          </w:tcPr>
          <w:p>
            <w:pPr>
              <w:jc w:val="center"/>
              <w:spacing w:line="480" w:lineRule="exact"/>
              <w:rPr>
                <w:rFonts w:ascii="宋体" w:hAnsi="宋体" w:cs="宋体"/>
                <w:color w:val="auto"/>
                <w:sz w:val="24"/>
                <w:highlight w:val="none"/>
              </w:rPr>
            </w:pPr>
            <w:r>
              <w:rPr>
                <w:rFonts w:hint="eastAsia" w:ascii="宋体" w:hAnsi="宋体" w:cs="宋体"/>
                <w:color w:val="auto"/>
                <w:sz w:val="24"/>
                <w:highlight w:val="none"/>
              </w:rPr>
              <w:t xml:space="preserve">维保服务方案</w:t>
            </w:r>
            <w:r/>
          </w:p>
        </w:tc>
        <w:tc>
          <w:tcPr>
            <w:tcW w:w="1032" w:type="dxa"/>
            <w:vAlign w:val="center"/>
            <w:textDirection w:val="lrTb"/>
            <w:noWrap/>
          </w:tcPr>
          <w:p>
            <w:pPr>
              <w:jc w:val="center"/>
              <w:spacing w:line="480" w:lineRule="exact"/>
              <w:rPr>
                <w:rFonts w:ascii="宋体" w:hAnsi="宋体" w:cs="宋体"/>
                <w:color w:val="auto"/>
                <w:sz w:val="24"/>
                <w:highlight w:val="none"/>
              </w:rPr>
            </w:pPr>
            <w:r>
              <w:rPr>
                <w:rFonts w:hint="eastAsia" w:ascii="宋体" w:hAnsi="宋体" w:cs="宋体"/>
                <w:color w:val="auto"/>
                <w:sz w:val="24"/>
                <w:highlight w:val="none"/>
              </w:rPr>
              <w:t xml:space="preserve">5.00</w:t>
            </w:r>
            <w:r/>
          </w:p>
        </w:tc>
        <w:tc>
          <w:tcPr>
            <w:tcW w:w="6185" w:type="dxa"/>
            <w:vAlign w:val="center"/>
            <w:textDirection w:val="lrTb"/>
            <w:noWrap/>
          </w:tcPr>
          <w:p>
            <w:pPr>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根据招标文件“第四章、采购需求—服务要求”制定运维维保服务方案；方案内容详细全面，优于采购需求得5分；方案内容基本详实，满足采购需求得3分；方案内容不完整但承诺后期优化能够满足采购需求的得1分。没有内容的不得分。</w:t>
            </w:r>
            <w:r/>
          </w:p>
        </w:tc>
      </w:tr>
    </w:tbl>
    <w:p>
      <w:pPr>
        <w:pStyle w:val="863"/>
        <w:ind w:firstLine="482"/>
        <w:jc w:val="both"/>
        <w:spacing w:before="0" w:beforeAutospacing="0" w:after="0" w:afterAutospacing="0" w:line="440" w:lineRule="exact"/>
        <w:rPr>
          <w:rFonts w:ascii="宋体" w:hAnsi="宋体" w:cs="宋体"/>
          <w:b/>
          <w:bCs/>
          <w:color w:val="auto"/>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auto"/>
          <w:highlight w:val="none"/>
          <w:shd w:val="clear" w:color="auto" w:fill="ffffff"/>
        </w:rPr>
      </w:r>
      <w:r/>
    </w:p>
    <w:p>
      <w:pPr>
        <w:pStyle w:val="863"/>
        <w:numPr>
          <w:ilvl w:val="0"/>
          <w:numId w:val="1"/>
        </w:numPr>
        <w:ind w:firstLine="482"/>
        <w:jc w:val="both"/>
        <w:spacing w:before="0" w:beforeAutospacing="0" w:after="0" w:afterAutospacing="0" w:line="440" w:lineRule="exact"/>
        <w:rPr>
          <w:rFonts w:ascii="宋体" w:hAnsi="宋体" w:cs="宋体"/>
          <w:color w:val="auto"/>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auto"/>
          <w:highlight w:val="none"/>
          <w:shd w:val="clear" w:color="auto" w:fill="ffffff"/>
        </w:rPr>
        <w:t xml:space="preserve">评标结果。</w:t>
      </w:r>
      <w:r>
        <w:rPr>
          <w:rFonts w:hint="eastAsia" w:ascii="宋体" w:hAnsi="宋体" w:cs="宋体"/>
          <w:color w:val="auto"/>
          <w:highlight w:val="none"/>
          <w:shd w:val="clear" w:color="auto" w:fill="ffffff"/>
        </w:rPr>
        <w:t xml:space="preserve">评标委员会按照本办法规定推荐中标候选人，并形成评标报告。</w:t>
      </w:r>
      <w:r/>
    </w:p>
    <w:p>
      <w:pPr>
        <w:ind w:firstLine="480"/>
        <w:spacing w:line="460" w:lineRule="exact"/>
        <w:rPr>
          <w:color w:val="auto"/>
          <w:highlight w:val="none"/>
        </w:rPr>
      </w:pPr>
      <w:r>
        <w:rPr>
          <w:color w:val="auto"/>
          <w:highlight w:val="none"/>
        </w:rPr>
      </w:r>
      <w:r/>
    </w:p>
    <w:p>
      <w:pPr>
        <w:pStyle w:val="863"/>
        <w:ind w:left="482"/>
        <w:jc w:val="both"/>
        <w:spacing w:before="0" w:beforeAutospacing="0" w:after="0" w:afterAutospacing="0" w:line="440" w:lineRule="exact"/>
        <w:rPr>
          <w:rFonts w:ascii="宋体" w:hAnsi="宋体" w:cs="宋体"/>
          <w:color w:val="auto"/>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auto"/>
          <w:highlight w:val="none"/>
          <w:shd w:val="clear" w:color="auto" w:fill="ffffff"/>
        </w:rPr>
      </w:r>
      <w:r/>
    </w:p>
    <w:p>
      <w:pPr>
        <w:pStyle w:val="863"/>
        <w:ind w:firstLine="420"/>
        <w:jc w:val="center"/>
        <w:spacing w:before="0" w:beforeAutospacing="0" w:after="0" w:afterAutospacing="0" w:line="440" w:lineRule="exact"/>
        <w:rPr>
          <w:rFonts w:ascii="宋体" w:hAnsi="宋体" w:cs="宋体"/>
          <w:b/>
          <w:bCs/>
          <w:color w:val="auto"/>
          <w:highlight w:val="none"/>
          <w:shd w:val="clear" w:color="auto" w:fill="ffffff"/>
        </w:rPr>
      </w:pPr>
      <w:r/>
      <w:bookmarkStart w:id="110" w:name="EB7816f6fdbc96408ea7b735c177a21493"/>
      <w:r/>
      <w:bookmarkStart w:id="111" w:name="_Toc9629"/>
      <w:r/>
      <w:r/>
    </w:p>
    <w:p>
      <w:pPr>
        <w:pStyle w:val="863"/>
        <w:jc w:val="both"/>
        <w:spacing w:before="0" w:beforeAutospacing="0" w:after="0" w:afterAutospacing="0" w:line="440" w:lineRule="exact"/>
        <w:rPr>
          <w:rFonts w:ascii="宋体" w:hAnsi="宋体" w:cs="宋体"/>
          <w:b/>
          <w:bCs/>
          <w:color w:val="auto"/>
          <w:highlight w:val="none"/>
          <w:shd w:val="clear" w:color="auto" w:fill="ffffff"/>
        </w:rPr>
      </w:pPr>
      <w:r>
        <w:rPr>
          <w:rFonts w:ascii="宋体" w:hAnsi="宋体" w:cs="宋体"/>
          <w:b/>
          <w:bCs/>
          <w:color w:val="auto"/>
          <w:highlight w:val="none"/>
          <w:shd w:val="clear" w:color="auto" w:fill="ffffff"/>
        </w:rPr>
      </w:r>
      <w:r/>
    </w:p>
    <w:p>
      <w:pPr>
        <w:pStyle w:val="863"/>
        <w:ind w:firstLine="420"/>
        <w:jc w:val="center"/>
        <w:spacing w:before="0" w:beforeAutospacing="0" w:after="0" w:afterAutospacing="0" w:line="440" w:lineRule="exact"/>
        <w:rPr>
          <w:rFonts w:ascii="宋体" w:hAnsi="宋体" w:cs="宋体"/>
          <w:b/>
          <w:bCs/>
          <w:color w:val="auto"/>
          <w:highlight w:val="none"/>
          <w:shd w:val="clear" w:color="auto" w:fill="ffffff"/>
        </w:rPr>
      </w:pPr>
      <w:r>
        <w:rPr>
          <w:rFonts w:ascii="宋体" w:hAnsi="宋体" w:cs="宋体"/>
          <w:b/>
          <w:bCs/>
          <w:color w:val="auto"/>
          <w:highlight w:val="none"/>
          <w:shd w:val="clear" w:color="auto" w:fill="ffffff"/>
        </w:rPr>
      </w:r>
      <w:r/>
    </w:p>
    <w:p>
      <w:pPr>
        <w:pStyle w:val="863"/>
        <w:ind w:firstLine="420"/>
        <w:jc w:val="center"/>
        <w:spacing w:before="0" w:beforeAutospacing="0" w:after="0" w:afterAutospacing="0" w:line="440" w:lineRule="exact"/>
        <w:rPr>
          <w:rFonts w:ascii="宋体" w:hAnsi="宋体" w:cs="宋体"/>
          <w:b/>
          <w:bCs/>
          <w:color w:val="auto"/>
          <w:highlight w:val="none"/>
          <w:shd w:val="clear" w:color="auto" w:fill="ffffff"/>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cs="宋体"/>
          <w:b/>
          <w:bCs/>
          <w:color w:val="auto"/>
          <w:highlight w:val="none"/>
          <w:shd w:val="clear" w:color="auto" w:fill="ffffff"/>
        </w:rPr>
      </w:r>
      <w:r/>
    </w:p>
    <w:p>
      <w:pPr>
        <w:pStyle w:val="863"/>
        <w:jc w:val="center"/>
        <w:spacing w:before="0" w:beforeAutospacing="0" w:after="0" w:afterAutospacing="0"/>
        <w:rPr>
          <w:rFonts w:ascii="宋体" w:hAnsi="宋体" w:cs="宋体"/>
          <w:b/>
          <w:bCs/>
          <w:color w:val="auto"/>
          <w:sz w:val="44"/>
          <w:szCs w:val="44"/>
          <w:highlight w:val="none"/>
          <w:shd w:val="clear" w:color="auto" w:fill="ffffff"/>
        </w:rPr>
      </w:pPr>
      <w:r>
        <w:rPr>
          <w:rFonts w:hint="eastAsia" w:ascii="宋体" w:hAnsi="宋体" w:cs="宋体"/>
          <w:b/>
          <w:bCs/>
          <w:color w:val="auto"/>
          <w:sz w:val="44"/>
          <w:szCs w:val="44"/>
          <w:highlight w:val="none"/>
          <w:shd w:val="clear" w:color="auto" w:fill="ffffff"/>
        </w:rPr>
        <w:t xml:space="preserve">第四部分  采购需求</w:t>
      </w:r>
      <w:bookmarkEnd w:id="110"/>
      <w:r/>
      <w:bookmarkEnd w:id="111"/>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项目属性：服务类项目</w:t>
      </w:r>
      <w:r/>
    </w:p>
    <w:p>
      <w:pPr>
        <w:spacing w:line="440" w:lineRule="exact"/>
        <w:rPr>
          <w:rFonts w:ascii="宋体" w:hAnsi="宋体" w:cs="宋体"/>
          <w:color w:val="auto"/>
          <w:sz w:val="24"/>
          <w:highlight w:val="none"/>
          <w:u w:val="single"/>
        </w:rPr>
      </w:pPr>
      <w:r>
        <w:rPr>
          <w:rFonts w:hint="eastAsia" w:ascii="宋体" w:hAnsi="宋体" w:cs="宋体"/>
          <w:color w:val="auto"/>
          <w:sz w:val="24"/>
          <w:highlight w:val="none"/>
        </w:rPr>
        <w:t xml:space="preserve">本项目采购标的对应的中小企业划分标准所属行业：</w:t>
      </w:r>
      <w:r>
        <w:rPr>
          <w:rFonts w:hint="eastAsia" w:ascii="宋体" w:hAnsi="宋体" w:cs="宋体"/>
          <w:color w:val="auto"/>
          <w:sz w:val="24"/>
          <w:highlight w:val="none"/>
          <w:u w:val="single"/>
        </w:rPr>
        <w:t xml:space="preserve">软件和信息技术服务业</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本项目不接受进口产品。</w:t>
      </w:r>
      <w:r/>
    </w:p>
    <w:p>
      <w:pPr>
        <w:pStyle w:val="877"/>
        <w:ind w:firstLine="482"/>
        <w:spacing w:line="440" w:lineRule="exact"/>
        <w:rPr>
          <w:rFonts w:ascii="宋体" w:hAnsi="宋体" w:cs="宋体"/>
          <w:color w:val="auto"/>
          <w:sz w:val="24"/>
          <w:szCs w:val="24"/>
          <w:highlight w:val="none"/>
        </w:rPr>
      </w:pPr>
      <w:r>
        <w:rPr>
          <w:rFonts w:hint="eastAsia" w:ascii="宋体" w:hAnsi="宋体" w:cs="宋体"/>
          <w:b/>
          <w:bCs/>
          <w:color w:val="auto"/>
          <w:sz w:val="24"/>
          <w:szCs w:val="24"/>
          <w:highlight w:val="none"/>
        </w:rPr>
        <w:t xml:space="preserve">一、项目概况</w:t>
      </w:r>
      <w:r/>
    </w:p>
    <w:p>
      <w:pPr>
        <w:pStyle w:val="877"/>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项目名称：雪亮工程社会面联网项目（一标段）</w:t>
      </w:r>
      <w:r/>
    </w:p>
    <w:p>
      <w:pPr>
        <w:pStyle w:val="877"/>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项目预算：1580225元</w:t>
      </w:r>
      <w:r/>
    </w:p>
    <w:p>
      <w:pPr>
        <w:pStyle w:val="877"/>
        <w:ind w:firstLine="482"/>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二、建设内容</w:t>
      </w:r>
      <w:r/>
    </w:p>
    <w:p>
      <w:pPr>
        <w:pStyle w:val="877"/>
        <w:ind w:firstLine="480"/>
        <w:spacing w:line="44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本项目建设旨在通过构建"全域覆盖、全网共享、全时可用、全程可控"的智能化视频监控体系，全面提升泗洪县社会治安防控能力。建设内容主要为200台前端监控设备、89台联网网关、后台视频云存储扩容2台、平台授权扩容20000路、1台交换机；前端相机和网关安装维护；包含前端设备电力供应；全县部分重点单位、重点部位的监控联网，含联网通信线路租赁等。总预算1580225元。</w:t>
      </w:r>
      <w:r/>
    </w:p>
    <w:p>
      <w:pPr>
        <w:pStyle w:val="877"/>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2、资金支付的方式：</w:t>
      </w:r>
      <w:r/>
    </w:p>
    <w:p>
      <w:pPr>
        <w:pStyle w:val="877"/>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预付款：合同签订后付合同价款的30%；</w:t>
      </w:r>
      <w:r/>
    </w:p>
    <w:p>
      <w:pPr>
        <w:pStyle w:val="877"/>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进度款：设备安装交付使用经验收合格后进入租赁服务期；租赁服务满一年经考核合格后，付至合同价的40%；租赁服务满二年经考核合格后，付至结算价的70%（结合考核结果）；租赁服务期满经考核合格后，按结算价付清尾款（结合考核结果）。</w:t>
      </w:r>
      <w:r/>
    </w:p>
    <w:p>
      <w:pPr>
        <w:pStyle w:val="877"/>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pStyle w:val="877"/>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（1）可以采用数字人民币支付；</w:t>
      </w:r>
      <w:r/>
    </w:p>
    <w:p>
      <w:pPr>
        <w:pStyle w:val="877"/>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（2）资金支付的时间：收到供应商发票10个工作日内；</w:t>
      </w:r>
      <w:r/>
    </w:p>
    <w:p>
      <w:pPr>
        <w:pStyle w:val="877"/>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（3）资金支付的条件：满足相应阶段的要求且收到供应商发票；</w:t>
      </w:r>
      <w:r/>
    </w:p>
    <w:p>
      <w:pPr>
        <w:pStyle w:val="877"/>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（4）在签订合同时，供应商明确表示无需预付款或者主动要求降低预付款比例的，采购人可不适用前述规定。</w:t>
      </w:r>
      <w:r/>
    </w:p>
    <w:p>
      <w:pPr>
        <w:pStyle w:val="877"/>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（5）扣除考核费用，考核细则详见考核办法。</w:t>
      </w:r>
      <w:r/>
    </w:p>
    <w:p>
      <w:pPr>
        <w:pStyle w:val="877"/>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3、合同履行期限：采购合同签订后 180 日内供货安装调试完毕并交付使用，租赁服务期三年。租赁服务期满后硬件资产移交泗洪县公安局。</w:t>
      </w:r>
      <w:r/>
    </w:p>
    <w:p>
      <w:pPr>
        <w:pStyle w:val="877"/>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4、实施地点：采购单位指定地点。</w:t>
      </w:r>
      <w:r/>
    </w:p>
    <w:p>
      <w:pPr>
        <w:pStyle w:val="877"/>
        <w:ind w:firstLine="480"/>
        <w:spacing w:line="440" w:lineRule="exact"/>
        <w:rPr>
          <w:color w:val="auto"/>
          <w:highlight w:val="none"/>
        </w:rPr>
      </w:pPr>
      <w:r>
        <w:rPr>
          <w:rFonts w:hint="eastAsia" w:ascii="宋体" w:hAnsi="宋体" w:cs="宋体"/>
          <w:color w:val="auto"/>
          <w:sz w:val="24"/>
          <w:szCs w:val="24"/>
          <w:highlight w:val="none"/>
        </w:rPr>
        <w:t xml:space="preserve">5、施工注意事项：中标人必须注意现场安全，做好安全文明施工工作，一切责任由中标人负责，与采购人无关。施工过程中中标人应做好原有建筑及设施防护工作，如因中标人原因造成原有建筑及设施损坏，由中标人负责维修恢复原样，费用由中标人承担。</w:t>
      </w:r>
      <w:r/>
    </w:p>
    <w:p>
      <w:pPr>
        <w:pStyle w:val="877"/>
        <w:ind w:firstLine="482"/>
        <w:jc w:val="left"/>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三、设备采购清单及技术要求</w:t>
      </w:r>
      <w:r/>
    </w:p>
    <w:tbl>
      <w:tblPr>
        <w:tblStyle w:val="661"/>
        <w:tblW w:w="8895" w:type="dxa"/>
        <w:tblInd w:w="-486" w:type="dxa"/>
        <w:tblLayout w:type="autofit"/>
        <w:tblCellMar>
          <w:left w:w="108" w:type="dxa"/>
          <w:top w:w="0" w:type="dxa"/>
          <w:right w:w="108" w:type="dxa"/>
          <w:bottom w:w="0" w:type="dxa"/>
        </w:tblCellMar>
        <w:tblLook w:val="04A0" w:firstRow="1" w:lastRow="0" w:firstColumn="1" w:lastColumn="0" w:noHBand="0" w:noVBand="1"/>
      </w:tblPr>
      <w:tblGrid>
        <w:gridCol w:w="457"/>
        <w:gridCol w:w="1299"/>
        <w:gridCol w:w="5500"/>
        <w:gridCol w:w="823"/>
        <w:gridCol w:w="816"/>
      </w:tblGrid>
      <w:tr>
        <w:trPr>
          <w:trHeight w:val="57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4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jc w:val="center"/>
              <w:spacing w:line="4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5500" w:type="dxa"/>
            <w:vAlign w:val="center"/>
            <w:textDirection w:val="lrTb"/>
            <w:noWrap/>
          </w:tcPr>
          <w:p>
            <w:pPr>
              <w:jc w:val="center"/>
              <w:spacing w:line="4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技术要求</w:t>
            </w:r>
            <w:r/>
          </w:p>
        </w:tc>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spacing w:line="4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spacing w:line="4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数量</w:t>
            </w:r>
            <w:r/>
          </w:p>
        </w:tc>
      </w:tr>
      <w:tr>
        <w:trPr>
          <w:trHeight w:val="196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视频云存储扩容设备</w:t>
            </w:r>
            <w:r/>
          </w:p>
        </w:tc>
        <w:tc>
          <w:tcPr>
            <w:tcBorders>
              <w:top w:val="single" w:color="000000" w:sz="4" w:space="0"/>
              <w:left w:val="single" w:color="000000" w:sz="4" w:space="0"/>
              <w:bottom w:val="single" w:color="000000" w:sz="4" w:space="0"/>
              <w:right w:val="single" w:color="000000" w:sz="4" w:space="0"/>
            </w:tcBorders>
            <w:tcW w:w="5500" w:type="dxa"/>
            <w:vAlign w:val="center"/>
            <w:textDirection w:val="lrTb"/>
            <w:noWrap/>
          </w:tcPr>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＃1.现有HikCloud Storage VCS 视频云存储系统扩容；</w:t>
            </w:r>
            <w:r>
              <w:rPr>
                <w:rFonts w:hint="eastAsia" w:ascii="宋体" w:hAnsi="宋体" w:cs="宋体"/>
                <w:color w:val="auto"/>
                <w:sz w:val="24"/>
                <w:highlight w:val="none"/>
              </w:rPr>
              <w:br/>
            </w:r>
            <w:r>
              <w:rPr>
                <w:rFonts w:hint="eastAsia" w:ascii="宋体" w:hAnsi="宋体" w:cs="宋体"/>
                <w:color w:val="auto"/>
                <w:sz w:val="24"/>
                <w:highlight w:val="none"/>
              </w:rPr>
              <w:t xml:space="preserve">＃2.4U机架式36盘位网络存储设备，搭载64位多核处理器，1+1冗余电源、冗余风扇，实现7×24小时稳定运行；</w:t>
            </w:r>
            <w:r>
              <w:rPr>
                <w:rFonts w:hint="eastAsia" w:ascii="宋体" w:hAnsi="宋体" w:cs="宋体"/>
                <w:color w:val="auto"/>
                <w:sz w:val="24"/>
                <w:highlight w:val="none"/>
              </w:rPr>
              <w:br/>
            </w:r>
            <w:r>
              <w:rPr>
                <w:rFonts w:hint="eastAsia" w:ascii="宋体" w:hAnsi="宋体" w:cs="宋体"/>
                <w:color w:val="auto"/>
                <w:sz w:val="24"/>
                <w:highlight w:val="none"/>
              </w:rPr>
              <w:t xml:space="preserve">＃3.处理器：1颗64位多核；</w:t>
            </w:r>
            <w:r>
              <w:rPr>
                <w:rFonts w:hint="eastAsia" w:ascii="宋体" w:hAnsi="宋体" w:cs="宋体"/>
                <w:color w:val="auto"/>
                <w:sz w:val="24"/>
                <w:highlight w:val="none"/>
              </w:rPr>
              <w:br/>
            </w:r>
            <w:r>
              <w:rPr>
                <w:rFonts w:hint="eastAsia" w:ascii="宋体" w:hAnsi="宋体" w:cs="宋体"/>
                <w:color w:val="auto"/>
                <w:sz w:val="24"/>
                <w:highlight w:val="none"/>
              </w:rPr>
              <w:t xml:space="preserve">＃4.系统盘：1×240GB SSD；</w:t>
            </w:r>
            <w:r>
              <w:rPr>
                <w:rFonts w:hint="eastAsia" w:ascii="宋体" w:hAnsi="宋体" w:cs="宋体"/>
                <w:color w:val="auto"/>
                <w:sz w:val="24"/>
                <w:highlight w:val="none"/>
              </w:rPr>
              <w:br/>
            </w:r>
            <w:r>
              <w:rPr>
                <w:rFonts w:hint="eastAsia" w:ascii="宋体" w:hAnsi="宋体" w:cs="宋体"/>
                <w:color w:val="auto"/>
                <w:sz w:val="24"/>
                <w:highlight w:val="none"/>
              </w:rPr>
              <w:t xml:space="preserve">＃5.系统内存：16GB（可扩展至128GB）；</w:t>
            </w:r>
            <w:r>
              <w:rPr>
                <w:rFonts w:hint="eastAsia" w:ascii="宋体" w:hAnsi="宋体" w:cs="宋体"/>
                <w:color w:val="auto"/>
                <w:sz w:val="24"/>
                <w:highlight w:val="none"/>
              </w:rPr>
              <w:br/>
            </w:r>
            <w:r>
              <w:rPr>
                <w:rFonts w:hint="eastAsia" w:ascii="宋体" w:hAnsi="宋体" w:cs="宋体"/>
                <w:color w:val="auto"/>
                <w:sz w:val="24"/>
                <w:highlight w:val="none"/>
              </w:rPr>
              <w:t xml:space="preserve">＃6.存储接口：36个SATA接口，支持硬盘热插拔，</w:t>
            </w:r>
            <w:r/>
          </w:p>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＃7.配置36块8TB硬盘；</w:t>
            </w:r>
            <w:r>
              <w:rPr>
                <w:rFonts w:hint="eastAsia" w:ascii="宋体" w:hAnsi="宋体" w:cs="宋体"/>
                <w:color w:val="auto"/>
                <w:sz w:val="24"/>
                <w:highlight w:val="none"/>
              </w:rPr>
              <w:br/>
            </w:r>
            <w:r>
              <w:rPr>
                <w:rFonts w:hint="eastAsia" w:ascii="宋体" w:hAnsi="宋体" w:cs="宋体"/>
                <w:color w:val="auto"/>
                <w:sz w:val="24"/>
                <w:highlight w:val="none"/>
              </w:rPr>
              <w:t xml:space="preserve">＃8.网络接口：6个万兆数据网口，1个千兆管理口；</w:t>
            </w:r>
            <w:r>
              <w:rPr>
                <w:rFonts w:hint="eastAsia" w:ascii="宋体" w:hAnsi="宋体" w:cs="宋体"/>
                <w:color w:val="auto"/>
                <w:sz w:val="24"/>
                <w:highlight w:val="none"/>
              </w:rPr>
              <w:br/>
            </w:r>
            <w:r>
              <w:rPr>
                <w:rFonts w:hint="eastAsia" w:ascii="宋体" w:hAnsi="宋体" w:cs="宋体"/>
                <w:color w:val="auto"/>
                <w:sz w:val="24"/>
                <w:highlight w:val="none"/>
              </w:rPr>
              <w:t xml:space="preserve">＃9.其他接口：1×COM，2×USB3.0，1×VGA，1×IPMI；</w:t>
            </w:r>
            <w:r>
              <w:rPr>
                <w:rFonts w:hint="eastAsia" w:ascii="宋体" w:hAnsi="宋体" w:cs="宋体"/>
                <w:color w:val="auto"/>
                <w:sz w:val="24"/>
                <w:highlight w:val="none"/>
              </w:rPr>
              <w:br/>
            </w:r>
            <w:r>
              <w:rPr>
                <w:rFonts w:hint="eastAsia" w:ascii="宋体" w:hAnsi="宋体" w:cs="宋体"/>
                <w:color w:val="auto"/>
                <w:sz w:val="24"/>
                <w:highlight w:val="none"/>
              </w:rPr>
              <w:t xml:space="preserve">＃10.整机电源：800W，1+1冗余电源；</w:t>
            </w:r>
            <w:r>
              <w:rPr>
                <w:rFonts w:hint="eastAsia" w:ascii="宋体" w:hAnsi="宋体" w:cs="宋体"/>
                <w:color w:val="auto"/>
                <w:sz w:val="24"/>
                <w:highlight w:val="none"/>
              </w:rPr>
              <w:br/>
            </w:r>
            <w:r>
              <w:rPr>
                <w:rFonts w:hint="eastAsia" w:ascii="宋体" w:hAnsi="宋体" w:cs="宋体"/>
                <w:color w:val="auto"/>
                <w:sz w:val="24"/>
                <w:highlight w:val="none"/>
              </w:rPr>
              <w:t xml:space="preserve">＃11.视频性能：最大接入路数280路2Mbps；</w:t>
            </w:r>
            <w:r>
              <w:rPr>
                <w:rFonts w:hint="eastAsia" w:ascii="宋体" w:hAnsi="宋体" w:cs="宋体"/>
                <w:color w:val="auto"/>
                <w:sz w:val="24"/>
                <w:highlight w:val="none"/>
              </w:rPr>
              <w:br/>
            </w:r>
            <w:r>
              <w:rPr>
                <w:rFonts w:hint="eastAsia" w:ascii="宋体" w:hAnsi="宋体" w:cs="宋体"/>
                <w:color w:val="auto"/>
                <w:sz w:val="24"/>
                <w:highlight w:val="none"/>
              </w:rPr>
              <w:t xml:space="preserve">＃12.支持视频流、图片流直存；</w:t>
            </w:r>
            <w:r>
              <w:rPr>
                <w:rFonts w:hint="eastAsia" w:ascii="宋体" w:hAnsi="宋体" w:cs="宋体"/>
                <w:color w:val="auto"/>
                <w:sz w:val="24"/>
                <w:highlight w:val="none"/>
              </w:rPr>
              <w:br/>
            </w:r>
            <w:r>
              <w:rPr>
                <w:rFonts w:hint="eastAsia" w:ascii="宋体" w:hAnsi="宋体" w:cs="宋体"/>
                <w:color w:val="auto"/>
                <w:sz w:val="24"/>
                <w:highlight w:val="none"/>
              </w:rPr>
              <w:t xml:space="preserve">＃13.支持ONVIF、GB/T 28181、RTSP等标准协议；</w:t>
            </w:r>
            <w:r>
              <w:rPr>
                <w:rFonts w:hint="eastAsia" w:ascii="宋体" w:hAnsi="宋体" w:cs="宋体"/>
                <w:color w:val="auto"/>
                <w:sz w:val="24"/>
                <w:highlight w:val="none"/>
              </w:rPr>
              <w:br/>
            </w:r>
            <w:r>
              <w:rPr>
                <w:rFonts w:hint="eastAsia" w:ascii="宋体" w:hAnsi="宋体" w:cs="宋体"/>
                <w:color w:val="auto"/>
                <w:sz w:val="24"/>
                <w:highlight w:val="none"/>
              </w:rPr>
              <w:t xml:space="preserve">＃14.支持多种存储覆盖策略：周期覆盖、容量覆盖、不覆盖；</w:t>
            </w:r>
            <w:r>
              <w:rPr>
                <w:rFonts w:hint="eastAsia" w:ascii="宋体" w:hAnsi="宋体" w:cs="宋体"/>
                <w:color w:val="auto"/>
                <w:sz w:val="24"/>
                <w:highlight w:val="none"/>
              </w:rPr>
              <w:br/>
            </w:r>
            <w:r>
              <w:rPr>
                <w:rFonts w:hint="eastAsia" w:ascii="宋体" w:hAnsi="宋体" w:cs="宋体"/>
                <w:color w:val="auto"/>
                <w:sz w:val="24"/>
                <w:highlight w:val="none"/>
              </w:rPr>
              <w:t xml:space="preserve">＃15.支持视频检索功能，按照监控点编号、录像类型、时间组合等条件查询； </w:t>
            </w:r>
            <w:r>
              <w:rPr>
                <w:rFonts w:hint="eastAsia" w:ascii="宋体" w:hAnsi="宋体" w:cs="宋体"/>
                <w:color w:val="auto"/>
                <w:sz w:val="24"/>
                <w:highlight w:val="none"/>
              </w:rPr>
              <w:br/>
            </w:r>
            <w:r>
              <w:rPr>
                <w:rFonts w:hint="eastAsia" w:ascii="宋体" w:hAnsi="宋体" w:cs="宋体"/>
                <w:color w:val="auto"/>
                <w:sz w:val="24"/>
                <w:highlight w:val="none"/>
              </w:rPr>
              <w:t xml:space="preserve">＃16.支持视频回放功能：正序/倒序回放、定位回放、高倍速回放、关键帧回放等功能；</w:t>
            </w:r>
            <w:r>
              <w:rPr>
                <w:rFonts w:hint="eastAsia" w:ascii="宋体" w:hAnsi="宋体" w:cs="宋体"/>
                <w:color w:val="auto"/>
                <w:sz w:val="24"/>
                <w:highlight w:val="none"/>
              </w:rPr>
              <w:br/>
            </w:r>
            <w:r>
              <w:rPr>
                <w:rFonts w:hint="eastAsia" w:ascii="宋体" w:hAnsi="宋体" w:cs="宋体"/>
                <w:color w:val="auto"/>
                <w:sz w:val="24"/>
                <w:highlight w:val="none"/>
              </w:rPr>
              <w:t xml:space="preserve">＃17.支持视频锁定、视频封面、视频备份等视频功能；</w:t>
            </w:r>
            <w:r>
              <w:rPr>
                <w:rFonts w:hint="eastAsia" w:ascii="宋体" w:hAnsi="宋体" w:cs="宋体"/>
                <w:color w:val="auto"/>
                <w:sz w:val="24"/>
                <w:highlight w:val="none"/>
              </w:rPr>
              <w:br/>
            </w:r>
            <w:r>
              <w:rPr>
                <w:rFonts w:hint="eastAsia" w:ascii="宋体" w:hAnsi="宋体" w:cs="宋体"/>
                <w:color w:val="auto"/>
                <w:sz w:val="24"/>
                <w:highlight w:val="none"/>
              </w:rPr>
              <w:t xml:space="preserve">＃18.支持图片上传，下载，锁定功能，图片按周期、容量、不覆盖策略实现数据生命周期管理；</w:t>
            </w:r>
            <w:r>
              <w:rPr>
                <w:rFonts w:hint="eastAsia" w:ascii="宋体" w:hAnsi="宋体" w:cs="宋体"/>
                <w:color w:val="auto"/>
                <w:sz w:val="24"/>
                <w:highlight w:val="none"/>
              </w:rPr>
              <w:br/>
            </w:r>
            <w:r>
              <w:rPr>
                <w:rFonts w:hint="eastAsia" w:ascii="宋体" w:hAnsi="宋体" w:cs="宋体"/>
                <w:color w:val="auto"/>
                <w:sz w:val="24"/>
                <w:highlight w:val="none"/>
              </w:rPr>
              <w:t xml:space="preserve">▲19.支持集群管理功能，包括集群单元弹性扩容、负载均衡、故障迁移等；支持集群节点生命周期管理，支持集群节点服务组建、扩展、删除；</w:t>
            </w:r>
            <w:r>
              <w:rPr>
                <w:rFonts w:hint="eastAsia" w:ascii="宋体" w:hAnsi="宋体" w:cs="宋体"/>
                <w:b/>
                <w:bCs/>
                <w:color w:val="auto"/>
                <w:sz w:val="24"/>
                <w:highlight w:val="none"/>
              </w:rPr>
              <w:t xml:space="preserve">（提供具有CMA标识的检测报告</w:t>
            </w:r>
            <w:r>
              <w:rPr>
                <w:rFonts w:hint="eastAsia" w:ascii="宋体" w:hAnsi="宋体" w:cs="宋体"/>
                <w:b/>
                <w:bCs/>
                <w:color w:val="auto"/>
                <w:sz w:val="24"/>
                <w:highlight w:val="none"/>
                <w:lang w:val="en-US" w:eastAsia="zh-CN"/>
              </w:rPr>
              <w:t xml:space="preserve">电子扫描件</w:t>
            </w:r>
            <w:r>
              <w:rPr>
                <w:rFonts w:hint="eastAsia" w:ascii="宋体" w:hAnsi="宋体" w:cs="宋体"/>
                <w:b/>
                <w:bCs/>
                <w:color w:val="auto"/>
                <w:sz w:val="24"/>
                <w:highlight w:val="none"/>
              </w:rPr>
              <w:t xml:space="preserve">）</w:t>
            </w:r>
            <w:r>
              <w:rPr>
                <w:rFonts w:hint="eastAsia" w:ascii="宋体" w:hAnsi="宋体" w:cs="宋体"/>
                <w:b/>
                <w:bCs/>
                <w:color w:val="auto"/>
                <w:sz w:val="24"/>
                <w:highlight w:val="none"/>
              </w:rPr>
              <w:br/>
            </w:r>
            <w:r>
              <w:rPr>
                <w:rFonts w:hint="eastAsia" w:ascii="宋体" w:hAnsi="宋体" w:cs="宋体"/>
                <w:color w:val="auto"/>
                <w:sz w:val="24"/>
                <w:highlight w:val="none"/>
              </w:rPr>
              <w:t xml:space="preserve">▲20.支持对云系统运行中压力进行统计分析，包括：异常情况、告警情况、容量使用情况；支持对云系统运行中状态进行统计分析，包括：服务器状态、磁盘运行状态、存储使用空间、RAID组运行状态、监控点在线/离线数量和在线/离线比例等；</w:t>
            </w:r>
            <w:r>
              <w:rPr>
                <w:rFonts w:hint="eastAsia" w:ascii="宋体" w:hAnsi="宋体" w:cs="宋体"/>
                <w:b/>
                <w:bCs/>
                <w:color w:val="auto"/>
                <w:sz w:val="24"/>
                <w:highlight w:val="none"/>
              </w:rPr>
              <w:t xml:space="preserve">（提供具有CMA标识的检测报告</w:t>
            </w:r>
            <w:r>
              <w:rPr>
                <w:rFonts w:hint="eastAsia" w:ascii="宋体" w:hAnsi="宋体" w:cs="宋体"/>
                <w:b/>
                <w:bCs/>
                <w:color w:val="auto"/>
                <w:sz w:val="24"/>
                <w:highlight w:val="none"/>
                <w:lang w:val="en-US" w:eastAsia="zh-CN"/>
              </w:rPr>
              <w:t xml:space="preserve">电子扫描件</w:t>
            </w:r>
            <w:r>
              <w:rPr>
                <w:rFonts w:hint="eastAsia" w:ascii="宋体" w:hAnsi="宋体" w:cs="宋体"/>
                <w:b/>
                <w:bCs/>
                <w:color w:val="auto"/>
                <w:sz w:val="24"/>
                <w:highlight w:val="none"/>
              </w:rPr>
              <w:t xml:space="preserve">）</w:t>
            </w:r>
            <w:r>
              <w:rPr>
                <w:rFonts w:hint="eastAsia" w:ascii="宋体" w:hAnsi="宋体" w:cs="宋体"/>
                <w:color w:val="auto"/>
                <w:sz w:val="24"/>
                <w:highlight w:val="none"/>
              </w:rPr>
              <w:br/>
            </w:r>
            <w:r>
              <w:rPr>
                <w:rFonts w:hint="eastAsia" w:ascii="宋体" w:hAnsi="宋体" w:cs="宋体"/>
                <w:color w:val="auto"/>
                <w:sz w:val="24"/>
                <w:highlight w:val="none"/>
              </w:rPr>
              <w:t xml:space="preserve">▲21.负载均衡：1.节点离线、磁盘离线、节点过载、扩容存储节点，自动调整录像、图片、对象业务，实现集群均衡负载；2.域内节点部分带缓存加速盘，部分不带缓存加速盘，图片数据可自动路由存储缓存加速盘；</w:t>
            </w:r>
            <w:r>
              <w:rPr>
                <w:rFonts w:hint="eastAsia" w:ascii="宋体" w:hAnsi="宋体" w:cs="宋体"/>
                <w:b/>
                <w:bCs/>
                <w:color w:val="auto"/>
                <w:sz w:val="24"/>
                <w:highlight w:val="none"/>
              </w:rPr>
              <w:t xml:space="preserve">（提供具有CMA标识的检测报告</w:t>
            </w:r>
            <w:r>
              <w:rPr>
                <w:rFonts w:hint="eastAsia" w:ascii="宋体" w:hAnsi="宋体" w:cs="宋体"/>
                <w:b/>
                <w:bCs/>
                <w:color w:val="auto"/>
                <w:sz w:val="24"/>
                <w:highlight w:val="none"/>
                <w:lang w:val="en-US" w:eastAsia="zh-CN"/>
              </w:rPr>
              <w:t xml:space="preserve">电子扫描件</w:t>
            </w:r>
            <w:r>
              <w:rPr>
                <w:rFonts w:hint="eastAsia" w:ascii="宋体" w:hAnsi="宋体" w:cs="宋体"/>
                <w:b/>
                <w:bCs/>
                <w:color w:val="auto"/>
                <w:sz w:val="24"/>
                <w:highlight w:val="none"/>
              </w:rPr>
              <w:t xml:space="preserve">）</w:t>
            </w:r>
            <w:r>
              <w:rPr>
                <w:rFonts w:hint="eastAsia" w:ascii="宋体" w:hAnsi="宋体" w:cs="宋体"/>
                <w:b/>
                <w:bCs/>
                <w:color w:val="auto"/>
                <w:sz w:val="24"/>
                <w:highlight w:val="none"/>
              </w:rPr>
              <w:br/>
            </w:r>
            <w:r>
              <w:rPr>
                <w:rFonts w:hint="eastAsia" w:ascii="宋体" w:hAnsi="宋体" w:cs="宋体"/>
                <w:color w:val="auto"/>
                <w:sz w:val="24"/>
                <w:highlight w:val="none"/>
              </w:rPr>
              <w:t xml:space="preserve">▲22.云系统支持虚拟化存储空间，可以按需分配，分配的存储空间支持在线扩大和缩小；系统支持资源池空间弹性伸缩，不影响读写业务；系统支持周期在线动态扩大或缩小，存储周期内的业务数据不丢失，业务不受影响；支持在线扩大或缩小存储容量时，同时调整存储周期，业务不受影响；</w:t>
            </w:r>
            <w:r>
              <w:rPr>
                <w:rFonts w:hint="eastAsia" w:ascii="宋体" w:hAnsi="宋体" w:cs="宋体"/>
                <w:b/>
                <w:bCs/>
                <w:color w:val="auto"/>
                <w:sz w:val="24"/>
                <w:highlight w:val="none"/>
              </w:rPr>
              <w:t xml:space="preserve">（提供具有CMA标识的检测报告</w:t>
            </w:r>
            <w:r>
              <w:rPr>
                <w:rFonts w:hint="eastAsia" w:ascii="宋体" w:hAnsi="宋体" w:cs="宋体"/>
                <w:b/>
                <w:bCs/>
                <w:color w:val="auto"/>
                <w:sz w:val="24"/>
                <w:highlight w:val="none"/>
                <w:lang w:val="en-US" w:eastAsia="zh-CN"/>
              </w:rPr>
              <w:t xml:space="preserve">电子扫描件</w:t>
            </w:r>
            <w:r>
              <w:rPr>
                <w:rFonts w:hint="eastAsia" w:ascii="宋体" w:hAnsi="宋体" w:cs="宋体"/>
                <w:b/>
                <w:bCs/>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平台授权扩容</w:t>
            </w:r>
            <w:r/>
          </w:p>
        </w:tc>
        <w:tc>
          <w:tcPr>
            <w:tcBorders>
              <w:top w:val="single" w:color="000000" w:sz="4" w:space="0"/>
              <w:left w:val="single" w:color="000000" w:sz="4" w:space="0"/>
              <w:bottom w:val="single" w:color="000000" w:sz="4" w:space="0"/>
              <w:right w:val="single" w:color="000000" w:sz="4" w:space="0"/>
            </w:tcBorders>
            <w:tcW w:w="5500" w:type="dxa"/>
            <w:vAlign w:val="center"/>
            <w:textDirection w:val="lrTb"/>
            <w:noWrap/>
          </w:tcPr>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＃1.对现有视频监控管理平台，进行视频接入路数扩容；</w:t>
            </w:r>
            <w:r/>
          </w:p>
        </w:tc>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路</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20000</w:t>
            </w:r>
            <w:r/>
          </w:p>
        </w:tc>
      </w:tr>
      <w:tr>
        <w:trPr>
          <w:trHeight w:val="851"/>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网关</w:t>
            </w:r>
            <w:r/>
          </w:p>
        </w:tc>
        <w:tc>
          <w:tcPr>
            <w:tcBorders>
              <w:top w:val="single" w:color="000000" w:sz="4" w:space="0"/>
              <w:left w:val="single" w:color="000000" w:sz="4" w:space="0"/>
              <w:bottom w:val="single" w:color="000000" w:sz="4" w:space="0"/>
              <w:right w:val="single" w:color="000000" w:sz="4" w:space="0"/>
            </w:tcBorders>
            <w:tcW w:w="5500" w:type="dxa"/>
            <w:vAlign w:val="center"/>
            <w:textDirection w:val="lrTb"/>
            <w:noWrap/>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＃1.千兆电口≥5个，整机吞吐量≥400Mbps，每秒新建连接数≥0.17万，最大并发连接数≥1万；</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＃2.加密性能：IPsec VPN吞吐量≥60Mbps，IPsec VPN隧道数≥100个；</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＃3.支持基于内网用户流量模型和会话连接、新建连接的异常行为识别攻击，有效防护内网病毒传播、僵尸网络、木马等安全威胁；</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4.支持远程管理容错恢复机制，当管理员误配置导致分支断网或脱离集控时，分支设备可智能感知并自动回滚至配置前的状态；分支设备支持配置云端备份及自动同步，当分支设备硬件故障需要更换时，无需重新配置；设备异常离线期间，若管理员进行了配置下发、自动升级等操作，待设备重新上线后即可自动执行；</w:t>
            </w:r>
            <w:r/>
          </w:p>
          <w:p>
            <w:pPr>
              <w:jc w:val="left"/>
              <w:spacing w:line="400" w:lineRule="exact"/>
              <w:widowControl/>
              <w:rPr>
                <w:rFonts w:hint="eastAsia" w:ascii="宋体" w:hAnsi="宋体" w:cs="宋体"/>
                <w:b/>
                <w:bCs/>
                <w:color w:val="auto"/>
                <w:sz w:val="24"/>
                <w:highlight w:val="none"/>
              </w:rPr>
            </w:pPr>
            <w:r>
              <w:rPr>
                <w:rFonts w:hint="eastAsia" w:ascii="宋体" w:hAnsi="宋体" w:cs="宋体"/>
                <w:color w:val="auto"/>
                <w:sz w:val="24"/>
                <w:highlight w:val="none"/>
              </w:rPr>
              <w:t xml:space="preserve">▲5.设备可靠性要求：平均无故障工作时间（MTBF）&gt;26280(h)；</w:t>
            </w:r>
            <w:bookmarkStart w:id="139" w:name="_GoBack"/>
            <w:r>
              <w:rPr>
                <w:rFonts w:hint="eastAsia" w:ascii="宋体" w:hAnsi="宋体" w:cs="宋体"/>
                <w:b/>
                <w:bCs/>
                <w:color w:val="auto"/>
                <w:sz w:val="24"/>
                <w:highlight w:val="none"/>
              </w:rPr>
              <w:t xml:space="preserve">（提供具有CMA标识的检测报告电子扫描件）</w:t>
            </w:r>
            <w:bookmarkEnd w:id="139"/>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＃6.路由支持：支持静态路由、RIP v1/2、OSPF、MPLS 策略路由等。支持二三层混合模式模式，可以与内网交换机进行access、trunk VLAN对接，并能够对二层流量做防火墙等功能；</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＃7.快速上线：设备支持邮件、U盘、配置向导的快速开局能力，节省设备上线成本；</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＃8.联网自适应特性：支持隧道内地址转换，不改变原有站点地址规划，解决站点两端地址重叠问题策略管理；</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＃9.硬件加密：为保证联网分支网点的数据传输安全，需支持IPSec VPN、L2TP VPN等VPN，支持主流的商业加密算法，包括：AES、DES、3DES等，设备通过软件支持国密算法SM2、SM3、SM4；</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＃10.入侵防御：要求设备支持对于病毒、木马的攻击防护，漏洞规则特征库数量在5000条以上。</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＃11.授权应用特征库、IPS库、防病毒库三库合一，对应功能可自定义开启；</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＃12.支持基于WEB的CLI配置入口；</w:t>
            </w:r>
            <w:r/>
          </w:p>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＃13.通过WEB即可实现在WEB页面配置命令行，无需额外开启设备的telnet，ssh服务，简化网络运维。</w:t>
            </w:r>
            <w:r/>
          </w:p>
        </w:tc>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89</w:t>
            </w:r>
            <w:r/>
          </w:p>
        </w:tc>
      </w:tr>
      <w:tr>
        <w:trPr>
          <w:trHeight w:val="110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网络摄像机（符合GB35114）</w:t>
            </w:r>
            <w:r/>
          </w:p>
        </w:tc>
        <w:tc>
          <w:tcPr>
            <w:tcBorders>
              <w:top w:val="single" w:color="000000" w:sz="4" w:space="0"/>
              <w:left w:val="single" w:color="000000" w:sz="4" w:space="0"/>
              <w:bottom w:val="single" w:color="000000" w:sz="4" w:space="0"/>
              <w:right w:val="single" w:color="000000" w:sz="4" w:space="0"/>
            </w:tcBorders>
            <w:tcW w:w="5500" w:type="dxa"/>
            <w:vAlign w:val="center"/>
            <w:textDirection w:val="lrTb"/>
            <w:noWrap/>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＃1.内置F1.0大光圈全彩镜头；</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宽动态：120dB</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最低照度：彩色：0.0005 Lux @（F1.0，AGC ON），黑白：0Lux （红外灯开启）</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传感器类型：1/1.8" Progressive Scan CMOS </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焦距&amp;视场角：4mm：水平视场角：88.7°，垂直视场角：44.7°，对角线视场角：107.5°</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6mm：水平视场角：54.8°，垂直视场角：29.2°，对角线视场角：64.2°</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8mm：水平视场角：40.7°，垂直视场角：22.9°，对角线视场角：46.6° </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＃2.补光灯类型：内置16颗高功率温和补光灯，暖白光(黄光)；</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＃3.防补光过曝：支持防补光过曝开启和关闭，开启下支持自动和手动，手动支持根据距离等级控制补光灯亮度；</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＃4.补光距离：普通监控：</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4、6、8mm：60M </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＃5.视频压缩标准：H.265/H.264/MJPEG；</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＃6.最大图像尺寸：2560 × 1440 ；</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＃7.支持北斗定位 ；复位：支持；</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＃8.报警：1路输入，1路输出（报警输入支持开关量，报警输出最大支持DC12 V，30 mA）；</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＃9.音频：1路输入（Line in），1路输出（Line out），1个内置麦克风，1个内置扬声器；</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RS-485：采用半双工模式，支持自适应协议；</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＃10.接口类型：外甩线</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电源输出：DC12 V，100 mA</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＃11.网络：1个RJ45 10 M/100 M自适应以太网口；</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＃12.供电方式：DC：12V±20% ，支持防反接保护</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 PoE：IEEE 802.3at class 4；</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启动和工作温湿度： -30℃~60℃,湿度小于95%(无凝结)；</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＃13.电流及功耗：DC：12V，1.2A，Max：13.9W</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PoE：802.3at，42.5V ~ 57V，0.41A ~ 0.31A，MAX：17.3W</w:t>
            </w:r>
            <w:r/>
          </w:p>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＃14.防护：IP67 ；</w:t>
            </w:r>
            <w:r/>
          </w:p>
        </w:tc>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200</w:t>
            </w:r>
            <w:r/>
          </w:p>
        </w:tc>
      </w:tr>
      <w:tr>
        <w:trPr>
          <w:trHeight w:val="127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●交换机</w:t>
            </w:r>
            <w:r/>
          </w:p>
        </w:tc>
        <w:tc>
          <w:tcPr>
            <w:tcBorders>
              <w:top w:val="single" w:color="000000" w:sz="4" w:space="0"/>
              <w:left w:val="single" w:color="000000" w:sz="4" w:space="0"/>
              <w:bottom w:val="single" w:color="000000" w:sz="4" w:space="0"/>
              <w:right w:val="single" w:color="000000" w:sz="4" w:space="0"/>
            </w:tcBorders>
            <w:tcW w:w="5500" w:type="dxa"/>
            <w:vAlign w:val="center"/>
            <w:textDirection w:val="lrTb"/>
            <w:noWrap/>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＃1.交换容量≥2.4Tbps，整机转发性能≥660Mpps， 固化千兆电口≥20个，千兆Combo口≥8，万兆光口≥8个；</w:t>
            </w:r>
            <w:r/>
          </w:p>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额外提供扩展槽位≥1个；</w:t>
            </w:r>
            <w:r/>
          </w:p>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.标准化1U设备，支持可插拔冗余双电源；</w:t>
            </w:r>
            <w:r/>
          </w:p>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.为保障设备环境适应能力，要求设备最大功耗100W；</w:t>
            </w:r>
            <w:r/>
          </w:p>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.支持基于VLAN、MAC地址、IP地址、TCP/UDP端口号等ACL；</w:t>
            </w:r>
            <w:r/>
          </w:p>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.支持静态、动态、黑洞MAC表项；支持源MAC地址过滤；；</w:t>
            </w:r>
            <w:r/>
          </w:p>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.支持DHCP Client、DHCP Relay、DHCP Snooping ；</w:t>
            </w:r>
            <w:r/>
          </w:p>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.支持IGMP Snooping、IGMP Proxy、GMRP；支持PIM-SM、PIM-SSM、PIM-DM ；</w:t>
            </w:r>
            <w:r/>
          </w:p>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.支持MPLS L3VPN、MPLS L2VPN、MPLS-TE ；</w:t>
            </w:r>
            <w:r/>
          </w:p>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.支持IPv4和IPv6的三层路由功能，支持静态路由、RIP、OSPF、BGP；</w:t>
            </w:r>
            <w:r/>
          </w:p>
          <w:p>
            <w:pPr>
              <w:jc w:val="left"/>
              <w:spacing w:line="40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.支持OpenFlow+Netconf的VxLAN集中控制平面</w:t>
            </w:r>
            <w:r>
              <w:rPr>
                <w:rFonts w:hint="eastAsia" w:ascii="宋体" w:hAnsi="宋体" w:cs="宋体"/>
                <w:color w:val="auto"/>
                <w:sz w:val="24"/>
                <w:highlight w:val="none"/>
                <w:lang w:eastAsia="zh-CN"/>
              </w:rPr>
              <w:t xml:space="preserve">；</w:t>
            </w:r>
            <w:r/>
          </w:p>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.支持中文管理界面、WEB管理接口、SNMP v1/v2/v3；</w:t>
            </w:r>
            <w:r/>
          </w:p>
        </w:tc>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电源线</w:t>
            </w:r>
            <w:r/>
          </w:p>
        </w:tc>
        <w:tc>
          <w:tcPr>
            <w:tcBorders>
              <w:top w:val="single" w:color="000000" w:sz="4" w:space="0"/>
              <w:left w:val="single" w:color="000000" w:sz="4" w:space="0"/>
              <w:bottom w:val="single" w:color="000000" w:sz="4" w:space="0"/>
              <w:right w:val="single" w:color="000000" w:sz="4" w:space="0"/>
            </w:tcBorders>
            <w:tcW w:w="5500" w:type="dxa"/>
            <w:vAlign w:val="center"/>
            <w:textDirection w:val="lrTb"/>
            <w:noWrap/>
          </w:tcPr>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＃1.RVV2*1.5</w:t>
            </w:r>
            <w:r/>
          </w:p>
        </w:tc>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8000</w:t>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网线</w:t>
            </w:r>
            <w:r/>
          </w:p>
        </w:tc>
        <w:tc>
          <w:tcPr>
            <w:tcBorders>
              <w:top w:val="single" w:color="000000" w:sz="4" w:space="0"/>
              <w:left w:val="single" w:color="000000" w:sz="4" w:space="0"/>
              <w:bottom w:val="single" w:color="000000" w:sz="4" w:space="0"/>
              <w:right w:val="single" w:color="000000" w:sz="4" w:space="0"/>
            </w:tcBorders>
            <w:tcW w:w="5500" w:type="dxa"/>
            <w:vAlign w:val="center"/>
            <w:textDirection w:val="lrTb"/>
            <w:noWrap/>
          </w:tcPr>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＃1.超五类非屏蔽双绞线；</w:t>
            </w:r>
            <w:r/>
          </w:p>
        </w:tc>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8000</w:t>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适配器</w:t>
            </w:r>
            <w:r/>
          </w:p>
        </w:tc>
        <w:tc>
          <w:tcPr>
            <w:tcBorders>
              <w:top w:val="single" w:color="000000" w:sz="4" w:space="0"/>
              <w:left w:val="single" w:color="000000" w:sz="4" w:space="0"/>
              <w:bottom w:val="single" w:color="000000" w:sz="4" w:space="0"/>
              <w:right w:val="single" w:color="000000" w:sz="4" w:space="0"/>
            </w:tcBorders>
            <w:tcW w:w="5500" w:type="dxa"/>
            <w:vAlign w:val="center"/>
            <w:textDirection w:val="lrTb"/>
            <w:noWrap/>
          </w:tcPr>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＃1.电源适配器12V2A</w:t>
            </w:r>
            <w:r/>
          </w:p>
        </w:tc>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200</w:t>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辅材</w:t>
            </w:r>
            <w:r/>
          </w:p>
        </w:tc>
        <w:tc>
          <w:tcPr>
            <w:tcBorders>
              <w:top w:val="single" w:color="000000" w:sz="4" w:space="0"/>
              <w:left w:val="single" w:color="000000" w:sz="4" w:space="0"/>
              <w:bottom w:val="single" w:color="000000" w:sz="4" w:space="0"/>
              <w:right w:val="single" w:color="000000" w:sz="4" w:space="0"/>
            </w:tcBorders>
            <w:tcW w:w="5500" w:type="dxa"/>
            <w:vAlign w:val="center"/>
            <w:textDirection w:val="lrTb"/>
            <w:noWrap/>
          </w:tcPr>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RJ45、扎带、PVC管、管卡、软管、胶布、支架等</w:t>
            </w:r>
            <w:r/>
          </w:p>
        </w:tc>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批</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施工安装</w:t>
            </w:r>
            <w:r/>
          </w:p>
        </w:tc>
        <w:tc>
          <w:tcPr>
            <w:tcBorders>
              <w:top w:val="single" w:color="000000" w:sz="4" w:space="0"/>
              <w:left w:val="single" w:color="000000" w:sz="4" w:space="0"/>
              <w:bottom w:val="single" w:color="000000" w:sz="4" w:space="0"/>
              <w:right w:val="single" w:color="000000" w:sz="4" w:space="0"/>
            </w:tcBorders>
            <w:tcW w:w="5500" w:type="dxa"/>
            <w:vAlign w:val="center"/>
            <w:textDirection w:val="lrTb"/>
            <w:noWrap/>
          </w:tcPr>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1、包含外场前端摄像机安装、调试，社会面单位监控联网施工调试。</w:t>
            </w:r>
            <w:r/>
          </w:p>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2、后端机房设备安装施工；包含人工、工具、机械设备、特种作业、保险等全包费用。</w:t>
            </w:r>
            <w:r/>
          </w:p>
        </w:tc>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运行维护</w:t>
            </w:r>
            <w:r/>
          </w:p>
        </w:tc>
        <w:tc>
          <w:tcPr>
            <w:tcBorders>
              <w:top w:val="single" w:color="000000" w:sz="4" w:space="0"/>
              <w:left w:val="single" w:color="000000" w:sz="4" w:space="0"/>
              <w:bottom w:val="single" w:color="000000" w:sz="4" w:space="0"/>
              <w:right w:val="single" w:color="000000" w:sz="4" w:space="0"/>
            </w:tcBorders>
            <w:tcW w:w="5500" w:type="dxa"/>
            <w:vAlign w:val="center"/>
            <w:textDirection w:val="lrTb"/>
            <w:noWrap/>
          </w:tcPr>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设备3年维护；包含前端设备电力供应、设备故障检测、维修、维护、镜头清理、遮挡物清理（包含点位迁移），提供专业保障等。</w:t>
            </w:r>
            <w:r/>
          </w:p>
        </w:tc>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线路</w:t>
            </w:r>
            <w:r/>
          </w:p>
        </w:tc>
        <w:tc>
          <w:tcPr>
            <w:tcBorders>
              <w:top w:val="single" w:color="000000" w:sz="4" w:space="0"/>
              <w:left w:val="single" w:color="000000" w:sz="4" w:space="0"/>
              <w:bottom w:val="single" w:color="000000" w:sz="4" w:space="0"/>
              <w:right w:val="single" w:color="000000" w:sz="4" w:space="0"/>
            </w:tcBorders>
            <w:tcW w:w="5500" w:type="dxa"/>
            <w:vAlign w:val="center"/>
            <w:textDirection w:val="lrTb"/>
            <w:noWrap/>
          </w:tcPr>
          <w:p>
            <w:pPr>
              <w:jc w:val="left"/>
              <w:spacing w:line="400" w:lineRule="exact"/>
              <w:widowControl/>
              <w:rPr>
                <w:rFonts w:ascii="宋体" w:hAnsi="宋体" w:cs="宋体"/>
                <w:b/>
                <w:bCs/>
                <w:color w:val="auto"/>
                <w:sz w:val="24"/>
                <w:highlight w:val="none"/>
              </w:rPr>
            </w:pPr>
            <w:r>
              <w:rPr>
                <w:rFonts w:hint="eastAsia" w:ascii="宋体" w:hAnsi="宋体" w:cs="宋体"/>
                <w:color w:val="auto"/>
                <w:sz w:val="24"/>
                <w:highlight w:val="none"/>
              </w:rPr>
              <w:t xml:space="preserve">★1.前端点位需光纤线路接入县公安局数据存储中心机房现有视频图像信息综合应用平台。</w:t>
            </w:r>
            <w:r>
              <w:rPr>
                <w:rFonts w:hint="eastAsia" w:ascii="宋体" w:hAnsi="宋体" w:cs="宋体"/>
                <w:b/>
                <w:bCs/>
                <w:color w:val="auto"/>
                <w:sz w:val="24"/>
                <w:highlight w:val="none"/>
              </w:rPr>
              <w:t xml:space="preserve">（提供承诺函，格式自拟）</w:t>
            </w:r>
            <w:r/>
          </w:p>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2.前端接入设备单台独享带宽不低于100M，100条线路。</w:t>
            </w:r>
            <w:r/>
          </w:p>
        </w:tc>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r>
    </w:tbl>
    <w:p>
      <w:pPr>
        <w:spacing w:line="360" w:lineRule="auto"/>
        <w:rPr>
          <w:rFonts w:ascii="Times New Roman" w:hAnsi="Times New Roman"/>
          <w:b/>
          <w:bCs/>
          <w:color w:val="auto"/>
          <w:sz w:val="24"/>
          <w:highlight w:val="none"/>
        </w:rPr>
      </w:pPr>
      <w:r>
        <w:rPr>
          <w:rFonts w:ascii="Times New Roman" w:hAnsi="Times New Roman"/>
          <w:b/>
          <w:bCs/>
          <w:color w:val="auto"/>
          <w:sz w:val="24"/>
          <w:highlight w:val="none"/>
        </w:rPr>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注：《设备采购清单及技术参数要求》技术参数说明如下：</w:t>
      </w:r>
      <w:r/>
    </w:p>
    <w:p>
      <w:pPr>
        <w:numPr>
          <w:ilvl w:val="0"/>
          <w:numId w:val="2"/>
        </w:numPr>
        <w:ind w:firstLine="56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产品名称前标注“●”的为核心产品。</w:t>
      </w:r>
      <w:r/>
    </w:p>
    <w:p>
      <w:pPr>
        <w:numPr>
          <w:ilvl w:val="0"/>
          <w:numId w:val="2"/>
        </w:numPr>
        <w:ind w:firstLine="560"/>
        <w:spacing w:line="440" w:lineRule="exact"/>
        <w:rPr>
          <w:rFonts w:ascii="宋体" w:hAnsi="宋体" w:cs="宋体"/>
          <w:color w:val="auto"/>
          <w:sz w:val="24"/>
          <w:highlight w:val="none"/>
        </w:rPr>
      </w:pPr>
      <w:r>
        <w:rPr>
          <w:rFonts w:hint="eastAsia" w:ascii="宋体" w:hAnsi="宋体" w:cs="宋体"/>
          <w:color w:val="auto"/>
          <w:sz w:val="24"/>
          <w:highlight w:val="none"/>
        </w:rPr>
        <w:t xml:space="preserve">标注“★”项为实质性技术参数，无响应或无效响应或不满足，均将按无效标处理。</w:t>
      </w:r>
      <w:r/>
    </w:p>
    <w:p>
      <w:pPr>
        <w:ind w:firstLine="560"/>
        <w:spacing w:line="440" w:lineRule="exact"/>
        <w:rPr>
          <w:rFonts w:ascii="宋体" w:hAnsi="宋体" w:cs="宋体"/>
          <w:color w:val="auto"/>
          <w:sz w:val="24"/>
          <w:highlight w:val="none"/>
        </w:rPr>
      </w:pPr>
      <w:r>
        <w:rPr>
          <w:rFonts w:hint="eastAsia" w:ascii="宋体" w:hAnsi="宋体" w:cs="宋体"/>
          <w:color w:val="auto"/>
          <w:sz w:val="24"/>
          <w:highlight w:val="none"/>
        </w:rPr>
        <w:t xml:space="preserve">3.标注“▲”号标记的技术参数为重要技术参数，须按招标文件指定要求提供证明材料，未指定的证明材料可以是《技术要求响应及偏离表》。未按要求提供证明材料或证明材料不满足技术参数要求的或未在《技术要求响应及偏离表》中列明偏离情况的对应项的，均将视为无响应或无效响应均进行扣分处理。</w:t>
      </w:r>
      <w:r/>
    </w:p>
    <w:p>
      <w:pPr>
        <w:ind w:firstLine="560"/>
        <w:spacing w:line="440" w:lineRule="exact"/>
        <w:rPr>
          <w:rFonts w:ascii="宋体" w:hAnsi="宋体" w:cs="宋体"/>
          <w:color w:val="auto"/>
          <w:sz w:val="24"/>
          <w:highlight w:val="none"/>
        </w:rPr>
      </w:pPr>
      <w:r>
        <w:rPr>
          <w:rFonts w:hint="eastAsia" w:ascii="宋体" w:hAnsi="宋体" w:cs="宋体"/>
          <w:color w:val="auto"/>
          <w:sz w:val="24"/>
          <w:highlight w:val="none"/>
        </w:rPr>
        <w:t xml:space="preserve">4.标注“＃”号标记的技术参数为一般技术参数，投标人须详尽真实的在《技术要求响应及偏离表》内逐条响应。指定要求提供证明材料的按照要求提供，未指定的证明材料可以是《技术要求响应及偏离表》，未列明偏离情况或证明材料不满足或未按要求提供证明材料的，均将视为无响应或无效响应均进行扣分处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5.除辅助材料和设备（含以施工为主的条目、标明为定制的设备）之外的其它应该标明品牌和型号的设备，在投标文件中必须标明设备的品牌和型号，否则按无效标处理。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6.投标人应当对《中小企业声明函》真实性负责。</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7.除特别标注尺寸偏差、大于、大于等于、小于及小于等于之外，其它固定尺寸允许偏差±5%。</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8.产品必须是正规厂家新品，不得使用已经淘汰或拼凑、组装的伪劣、假冒部件及产品经招标人审验合格后方可进场，所有产品需符合国家标准要求,不得以次充好。</w:t>
      </w:r>
      <w:r/>
    </w:p>
    <w:p>
      <w:pPr>
        <w:ind w:firstLine="560"/>
        <w:spacing w:line="440" w:lineRule="exact"/>
        <w:rPr>
          <w:rFonts w:ascii="宋体" w:hAnsi="宋体" w:cs="宋体"/>
          <w:color w:val="auto"/>
          <w:sz w:val="24"/>
          <w:highlight w:val="none"/>
        </w:rPr>
      </w:pPr>
      <w:r>
        <w:rPr>
          <w:rFonts w:hint="eastAsia" w:ascii="宋体" w:hAnsi="宋体" w:cs="宋体"/>
          <w:color w:val="auto"/>
          <w:sz w:val="24"/>
          <w:highlight w:val="none"/>
        </w:rPr>
        <w:t xml:space="preserve">9.投标人应在合同签订后规定时间内按要求将设备运输至业主指定的交货地点。零散及易损件须用木箱包装，确保防盗、防震、防潮、防破损、运输方式确定，并且由于运输造成的设备损坏，丢失均由中标人负责处理，未按进度供货的，责任投标人自负。</w:t>
      </w:r>
      <w:r/>
    </w:p>
    <w:p>
      <w:pPr>
        <w:ind w:firstLine="560"/>
        <w:spacing w:line="440" w:lineRule="exact"/>
        <w:rPr>
          <w:rFonts w:ascii="宋体" w:hAnsi="宋体" w:cs="宋体"/>
          <w:color w:val="auto"/>
          <w:sz w:val="24"/>
          <w:highlight w:val="none"/>
        </w:rPr>
      </w:pPr>
      <w:r>
        <w:rPr>
          <w:rFonts w:hint="eastAsia" w:ascii="宋体" w:hAnsi="宋体" w:cs="宋体"/>
          <w:color w:val="auto"/>
          <w:sz w:val="24"/>
          <w:highlight w:val="none"/>
        </w:rPr>
        <w:t xml:space="preserve">10、详细的点位清单、线路清单中标后从采购人处获取。</w:t>
      </w:r>
      <w:r/>
    </w:p>
    <w:p>
      <w:pPr>
        <w:ind w:firstLine="482"/>
        <w:spacing w:line="440" w:lineRule="exact"/>
        <w:rPr>
          <w:rStyle w:val="924"/>
          <w:rFonts w:ascii="宋体" w:hAnsi="宋体" w:cs="宋体"/>
          <w:b/>
          <w:bCs/>
          <w:color w:val="auto"/>
          <w:sz w:val="24"/>
          <w:szCs w:val="24"/>
          <w:highlight w:val="none"/>
        </w:rPr>
      </w:pPr>
      <w:r>
        <w:rPr>
          <w:rStyle w:val="924"/>
          <w:rFonts w:hint="eastAsia" w:ascii="宋体" w:hAnsi="宋体" w:cs="宋体"/>
          <w:b/>
          <w:bCs/>
          <w:color w:val="auto"/>
          <w:sz w:val="24"/>
          <w:szCs w:val="24"/>
          <w:highlight w:val="none"/>
        </w:rPr>
        <w:t xml:space="preserve">四、服务要求</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(1) 运维服务总体实施方案</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1.巡检服务。中标供应商应每日至少通过后端平台对所有设备进行一次在线率和画面质量巡检（包含节假日）。</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2.现场技术服务。包含且不限于前端设备、线路发生损坏后，中标供应商在考核办法规定时间内派人到现场提供服务，维修、更换故障设备，确保监控完好率达到100%。</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3.对于通过89台网关及平台对接的社会面单位监控，平台巡检及联网网关、联网线路服务参照1和2条执行；通过社会面单位自购的NVR或平台对接的监控出现故障，中标供应商负责督促并提醒监控所属单位及时修复并将结果反馈采购人。对于多次出现故障且未能及时有效修复的监控设备，中标供应商应提供专业的技术分析和改进建议，必要时协助采购人推动监控所属单位进行设备更换或升级。同时，中标供应商要建立完善的故障跟踪机制，详细记录每次故障的发生时间、现象、处理过程及结果，以备采购单位查验。</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（2）运维保障服务内容及相关要求</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1.运维期间必须保证监控设备及附属设备、供电设备及供电线路、传输线路、存储系统、后端管理平台等的正常运行。</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2.根据考核要求，自建监控完好率100%，主干网络、机房内设备、社会面联网线路完好率100%。</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3.供电线路、传输线路、摄像机控制线路的检测、所有接口的检测、隐患排查、故障排除及设备更换。</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4.由于公共安全视频监控的不断建设完善，部分取电点位设备增多，出现了供电不足的问题。因此类问题导致相机离线或抓拍效果不佳的点位，中标供应商应负责进行接电改造，确保在线率符合标准并具备较好的视图采集效果。</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5.中标供应商在维护和保养过程中，对短期无法修复的故障应提前做出预警机制，制定响应计划和准备相关备品备件等。</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6.遇重大安保活动或突发事件（如突发事件、维稳工作、重大会议、大型赛事娱乐活动、群体性事件）时，根据采购人通知，中标供应商应在活动或事件发生前对系统进行全方位排查，及时发现并排除故障，并根据采购人要求，在日常运维人员基础上增加人员对活动或事件处理全程提供现场保障。</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7.中标供应商需自行勘察线路走向；设备产生的相关电费及重新取电的费用由中标方承担。</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8.中标供应商应保证前端监控采集的数据能和市局平台有效对接，并保证在考核和重大活动安保等工作中按要求将图像和数据上传到上级部门。</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9.中标供应商在项目维保期间，应按采购人要求，收集、整理设备的名称、经纬度等基础信息，制作和更新设备档案（即形成一机一档）。</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（3）运维服务响应方案</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1.线路、设备故障，不影响系统运行：7×24小时电话支持，2小时到达现场。</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2.线路、设备损坏，但系统正常运行：7×24小时电话支持，2小时到达现场。一般故障，前端设备6小时内修复、后端设备12小时内修复。重大故障24小时内修复。</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3.供应商提供运维实施计划和应急预案，方案包括但不限于设置非工作日应急值班人员，非工作日值班期间保持通信畅通，随时准备处理紧急事务，需要到现场处理的紧急事情，非工作日值班期间应在30分钟内响应处理，2小时内完成处理。</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（4）服务质量保障</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供应商制定服务质量保障方案，具备对服务全过程的质量控制措施。包括且不限于对各类日常技术服务工作流程的内部管控制度，提交的各类技术资料、文档内容真实性完整性的管理，备品备件的管理，与采购人管理制度衔接措施等，提交方案应科学合理，可操作性强。</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（5）项目人员管理</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项目须安排具有相应技术能力的项目负责人1名负责项目的整体管理，不低于3名外场技术服务人员进行日常、月度、季度例行巡检,全面维修维护所有硬件设备，检查系统软件及程序运行情况，巡检、维护、维修及排除设备隐患工具折旧及材料损耗均由中标供应商承担。维保期内，故障2小时内到场维修。</w:t>
      </w:r>
      <w:r/>
    </w:p>
    <w:p>
      <w:pPr>
        <w:ind w:firstLine="482"/>
        <w:spacing w:line="440" w:lineRule="exact"/>
        <w:rPr>
          <w:rStyle w:val="924"/>
          <w:rFonts w:ascii="宋体" w:hAnsi="宋体" w:cs="宋体"/>
          <w:color w:val="auto"/>
          <w:sz w:val="24"/>
          <w:szCs w:val="24"/>
          <w:highlight w:val="none"/>
        </w:rPr>
      </w:pPr>
      <w:r>
        <w:rPr>
          <w:rStyle w:val="924"/>
          <w:rFonts w:hint="eastAsia" w:ascii="宋体" w:hAnsi="宋体" w:cs="宋体"/>
          <w:b/>
          <w:bCs/>
          <w:color w:val="auto"/>
          <w:sz w:val="24"/>
          <w:szCs w:val="24"/>
          <w:highlight w:val="none"/>
        </w:rPr>
        <w:t xml:space="preserve">五、完工验收及履约评价</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5.1第一阶段：完工验收要求</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5.1.1验收时间：签订合同后180日内将设备送至采购人指定地点并安装调试完毕中标人向采购人提交完工验收技术资料以及完工验收申请单，采购人依法组织完工验收工作。</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5.1.2验收内容：包括设备品牌、型号、规格、数量是否符合合同规定，外观质量、安装调试是否合格，所提供设备装箱清单、操作说明、维修手册、说明书、原厂维保卡等是否齐全。</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5.1.3采购人成立完工验收小组，按照采购合同的约定对中标人的完工情况进行验收。完工验收结束后，验收小组出具完工验收书，列明各项标准的验收情况，由验收双方共同签署。完工验收合格后（以完工验收书日期为准计算）正式进入租赁服务期。</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5.2第二阶段：履约评价</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5.2.1租赁服务期满后，采购人或第三方机构根据项目整体服务情况并结合中标供应商在整个项目服务期内的考核得分，出具项目履约评价单。</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5.3验收标准</w:t>
      </w:r>
      <w:r/>
    </w:p>
    <w:p>
      <w:pPr>
        <w:ind w:firstLine="480"/>
        <w:spacing w:line="440" w:lineRule="exact"/>
        <w:rPr>
          <w:rFonts w:ascii="方正仿宋_GBK" w:hAnsi="方正仿宋_GBK" w:eastAsia="方正仿宋_GBK" w:cs="方正仿宋_GBK"/>
          <w:b/>
          <w:bCs/>
          <w:color w:val="auto"/>
          <w:sz w:val="28"/>
          <w:szCs w:val="28"/>
          <w:highlight w:val="none"/>
        </w:rPr>
      </w:pPr>
      <w:r>
        <w:rPr>
          <w:rStyle w:val="924"/>
          <w:rFonts w:hint="eastAsia" w:ascii="宋体" w:hAnsi="宋体" w:cs="宋体"/>
          <w:color w:val="auto"/>
          <w:sz w:val="24"/>
          <w:szCs w:val="24"/>
          <w:highlight w:val="none"/>
        </w:rPr>
        <w:t xml:space="preserve">按照招标文件、投标文件及相关标准实施。有国家标准的应符合国家标准，无国家标准的应符合行业标准、地方标准或者其他标准、规范，并满足招标文件要求，同时服从采购人安排要求。</w:t>
      </w:r>
      <w:r/>
    </w:p>
    <w:p>
      <w:pPr>
        <w:pStyle w:val="925"/>
        <w:ind w:firstLine="482"/>
        <w:spacing w:line="440" w:lineRule="exact"/>
        <w:rPr>
          <w:b/>
          <w:bCs/>
          <w:color w:val="auto"/>
          <w:sz w:val="24"/>
          <w:szCs w:val="21"/>
          <w:highlight w:val="none"/>
        </w:rPr>
      </w:pPr>
      <w:r>
        <w:rPr>
          <w:rFonts w:hint="eastAsia"/>
          <w:b/>
          <w:bCs/>
          <w:color w:val="auto"/>
          <w:sz w:val="24"/>
          <w:szCs w:val="21"/>
          <w:highlight w:val="none"/>
        </w:rPr>
        <w:t xml:space="preserve">六、项目实施要求</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（1）进度安排</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投标人针对本项目提供详细的进度安排，有明确的时间节点和进度计划，展示项目各阶段的起止时间、关键过程等。内容包括但不限于：项目启动日期、交货日期、安装及调试时间规划、试运行时间安排等。同时投标人应提前考虑并做好风险预防、应对措施，以确保按期、保质保量的将本项目采购的所有产品在采购人要求的供货时间内送至采购人指定地点。</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（2）质量保障</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投标人针对本项目提供详细质量保障措施，内容包括但不限于：质量保证体系、质量方针和目标、质量管理措施、质量控制措施、现场管理策略，安全生产措施、环境保护措施等。</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（3）安装及调试</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投标人针对本项目提供详细的安装及调试方案，内容包括但不限于：安装的步骤、方法、调试、测试；人员的职责架构及分工、项目管理运行机制等；安装调试保障措施，如安装调试过程中可能存在的风险，投标人应提前考虑并做好风险预防、应对措施，以确保按期、保质保量的将本项目采购的所有产品安装调试完毕并运行正常等。提供雪亮网平台现状分析报告及项目平台对接方案等。</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（4）突发应急事件处置</w:t>
      </w:r>
      <w:r/>
    </w:p>
    <w:p>
      <w:pPr>
        <w:ind w:firstLine="480"/>
        <w:spacing w:line="440" w:lineRule="exact"/>
        <w:rPr>
          <w:b/>
          <w:bCs/>
          <w:color w:val="auto"/>
          <w:sz w:val="24"/>
          <w:szCs w:val="21"/>
          <w:highlight w:val="none"/>
        </w:rPr>
      </w:pPr>
      <w:r>
        <w:rPr>
          <w:rStyle w:val="924"/>
          <w:rFonts w:hint="eastAsia" w:ascii="宋体" w:hAnsi="宋体" w:cs="宋体"/>
          <w:color w:val="auto"/>
          <w:sz w:val="24"/>
          <w:szCs w:val="24"/>
          <w:highlight w:val="none"/>
        </w:rPr>
        <w:t xml:space="preserve">投标人针对本项目提供详细的突发应急事件处置方案，包括但不限于：突发事件应急处理指挥部的组成和相关部门的职责；突发事件的监测与预警；突发事件信息的收集、分析、报告、通报制度；突发事件应急处理技术和监测机构及其任务；突发事件的分级和应急处理工作方案。</w:t>
      </w:r>
      <w:r/>
    </w:p>
    <w:p>
      <w:pPr>
        <w:pStyle w:val="925"/>
        <w:ind w:firstLine="482"/>
        <w:spacing w:line="440" w:lineRule="exact"/>
        <w:rPr>
          <w:b/>
          <w:bCs/>
          <w:color w:val="auto"/>
          <w:sz w:val="24"/>
          <w:szCs w:val="21"/>
          <w:highlight w:val="none"/>
        </w:rPr>
      </w:pPr>
      <w:r>
        <w:rPr>
          <w:rFonts w:hint="eastAsia"/>
          <w:b/>
          <w:bCs/>
          <w:color w:val="auto"/>
          <w:sz w:val="24"/>
          <w:szCs w:val="21"/>
          <w:highlight w:val="none"/>
        </w:rPr>
        <w:t xml:space="preserve">七、考核细则要求</w:t>
      </w:r>
      <w:r/>
    </w:p>
    <w:p>
      <w:pPr>
        <w:pStyle w:val="925"/>
        <w:ind w:firstLine="480"/>
        <w:spacing w:line="440" w:lineRule="exact"/>
        <w:rPr>
          <w:color w:val="auto"/>
          <w:sz w:val="24"/>
          <w:szCs w:val="21"/>
          <w:highlight w:val="none"/>
        </w:rPr>
      </w:pPr>
      <w:r>
        <w:rPr>
          <w:rFonts w:hint="eastAsia"/>
          <w:color w:val="auto"/>
          <w:sz w:val="24"/>
          <w:szCs w:val="21"/>
          <w:highlight w:val="none"/>
        </w:rPr>
        <w:t xml:space="preserve">依据政府采购合同文件要求，明确服务中标机构的权利和义务，保障本项目工作。对服务中标机构进行定期考核，细则如下。</w:t>
      </w:r>
      <w:r/>
    </w:p>
    <w:p>
      <w:pPr>
        <w:pStyle w:val="930"/>
        <w:jc w:val="center"/>
        <w:spacing w:line="360" w:lineRule="auto"/>
        <w:rPr>
          <w:rFonts w:hint="eastAsia" w:ascii="宋体" w:hAnsi="宋体" w:cs="仿宋"/>
          <w:b/>
          <w:color w:val="auto"/>
          <w:sz w:val="24"/>
          <w:szCs w:val="24"/>
          <w:highlight w:val="none"/>
        </w:rPr>
      </w:pPr>
      <w:r>
        <w:rPr>
          <w:rFonts w:hint="eastAsia" w:ascii="宋体" w:hAnsi="宋体" w:cs="仿宋"/>
          <w:b/>
          <w:color w:val="auto"/>
          <w:sz w:val="24"/>
          <w:szCs w:val="24"/>
          <w:highlight w:val="none"/>
        </w:rPr>
        <w:t xml:space="preserve">考核办法（满分：100分）</w:t>
      </w:r>
      <w:r/>
    </w:p>
    <w:tbl>
      <w:tblPr>
        <w:tblStyle w:val="661"/>
        <w:tblW w:w="99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644"/>
        <w:gridCol w:w="3792"/>
        <w:gridCol w:w="3755"/>
      </w:tblGrid>
      <w:tr>
        <w:trPr>
          <w:jc w:val="center"/>
        </w:trPr>
        <w:tc>
          <w:tcPr>
            <w:tcW w:w="717" w:type="dxa"/>
            <w:textDirection w:val="lrTb"/>
            <w:noWrap/>
          </w:tcPr>
          <w:p>
            <w:pPr>
              <w:pStyle w:val="930"/>
              <w:jc w:val="center"/>
              <w:spacing w:line="240" w:lineRule="auto"/>
              <w:rPr>
                <w:rStyle w:val="855"/>
                <w:rFonts w:ascii="宋体" w:hAnsi="宋体" w:cs="仿宋"/>
                <w:bCs/>
                <w:color w:val="auto"/>
                <w:szCs w:val="21"/>
                <w:highlight w:val="none"/>
              </w:rPr>
            </w:pPr>
            <w:r>
              <w:rPr>
                <w:rStyle w:val="855"/>
                <w:rFonts w:hint="eastAsia" w:ascii="宋体" w:hAnsi="宋体" w:cs="仿宋"/>
                <w:bCs/>
                <w:color w:val="auto"/>
                <w:szCs w:val="21"/>
                <w:highlight w:val="none"/>
              </w:rPr>
              <w:t xml:space="preserve">序号</w:t>
            </w:r>
            <w:r/>
          </w:p>
        </w:tc>
        <w:tc>
          <w:tcPr>
            <w:tcW w:w="1644" w:type="dxa"/>
            <w:textDirection w:val="lrTb"/>
            <w:noWrap/>
          </w:tcPr>
          <w:p>
            <w:pPr>
              <w:pStyle w:val="930"/>
              <w:jc w:val="center"/>
              <w:spacing w:line="240" w:lineRule="auto"/>
              <w:rPr>
                <w:rStyle w:val="855"/>
                <w:rFonts w:ascii="宋体" w:hAnsi="宋体" w:cs="仿宋"/>
                <w:bCs/>
                <w:color w:val="auto"/>
                <w:szCs w:val="21"/>
                <w:highlight w:val="none"/>
              </w:rPr>
            </w:pPr>
            <w:r>
              <w:rPr>
                <w:rStyle w:val="855"/>
                <w:rFonts w:hint="eastAsia" w:ascii="宋体" w:hAnsi="宋体" w:cs="仿宋"/>
                <w:bCs/>
                <w:color w:val="auto"/>
                <w:szCs w:val="21"/>
                <w:highlight w:val="none"/>
              </w:rPr>
              <w:t xml:space="preserve">考核项目</w:t>
            </w:r>
            <w:r/>
          </w:p>
        </w:tc>
        <w:tc>
          <w:tcPr>
            <w:tcW w:w="3792" w:type="dxa"/>
            <w:textDirection w:val="lrTb"/>
            <w:noWrap/>
          </w:tcPr>
          <w:p>
            <w:pPr>
              <w:pStyle w:val="930"/>
              <w:jc w:val="center"/>
              <w:spacing w:line="240" w:lineRule="auto"/>
              <w:rPr>
                <w:rStyle w:val="855"/>
                <w:rFonts w:ascii="宋体" w:hAnsi="宋体" w:cs="仿宋"/>
                <w:bCs/>
                <w:color w:val="auto"/>
                <w:szCs w:val="21"/>
                <w:highlight w:val="none"/>
              </w:rPr>
            </w:pPr>
            <w:r>
              <w:rPr>
                <w:rStyle w:val="855"/>
                <w:rFonts w:hint="eastAsia" w:ascii="宋体" w:hAnsi="宋体" w:cs="仿宋"/>
                <w:bCs/>
                <w:color w:val="auto"/>
                <w:szCs w:val="21"/>
                <w:highlight w:val="none"/>
              </w:rPr>
              <w:t xml:space="preserve">考核内容</w:t>
            </w:r>
            <w:r/>
          </w:p>
        </w:tc>
        <w:tc>
          <w:tcPr>
            <w:tcW w:w="3755" w:type="dxa"/>
            <w:textDirection w:val="lrTb"/>
            <w:noWrap/>
          </w:tcPr>
          <w:p>
            <w:pPr>
              <w:pStyle w:val="930"/>
              <w:jc w:val="center"/>
              <w:spacing w:line="240" w:lineRule="auto"/>
              <w:rPr>
                <w:rStyle w:val="855"/>
                <w:rFonts w:ascii="宋体" w:hAnsi="宋体" w:cs="仿宋"/>
                <w:bCs/>
                <w:color w:val="auto"/>
                <w:szCs w:val="21"/>
                <w:highlight w:val="none"/>
              </w:rPr>
            </w:pPr>
            <w:r>
              <w:rPr>
                <w:rStyle w:val="855"/>
                <w:rFonts w:hint="eastAsia" w:ascii="宋体" w:hAnsi="宋体" w:cs="仿宋"/>
                <w:bCs/>
                <w:color w:val="auto"/>
                <w:szCs w:val="21"/>
                <w:highlight w:val="none"/>
              </w:rPr>
              <w:t xml:space="preserve">考核标准</w:t>
            </w:r>
            <w:r/>
          </w:p>
        </w:tc>
      </w:tr>
      <w:tr>
        <w:trPr>
          <w:jc w:val="center"/>
        </w:trPr>
        <w:tc>
          <w:tcPr>
            <w:tcW w:w="717" w:type="dxa"/>
            <w:vAlign w:val="center"/>
            <w:textDirection w:val="lrTb"/>
            <w:noWrap/>
          </w:tcPr>
          <w:p>
            <w:pPr>
              <w:pStyle w:val="930"/>
              <w:jc w:val="center"/>
              <w:spacing w:line="240" w:lineRule="auto"/>
              <w:rPr>
                <w:rStyle w:val="855"/>
                <w:rFonts w:hint="eastAsia" w:ascii="宋体" w:hAnsi="宋体" w:cs="仿宋"/>
                <w:bCs/>
                <w:color w:val="auto"/>
                <w:szCs w:val="21"/>
                <w:highlight w:val="none"/>
              </w:rPr>
            </w:pPr>
            <w:r>
              <w:rPr>
                <w:rStyle w:val="855"/>
                <w:rFonts w:hint="eastAsia" w:ascii="宋体" w:hAnsi="宋体" w:cs="仿宋"/>
                <w:bCs/>
                <w:color w:val="auto"/>
                <w:szCs w:val="21"/>
                <w:highlight w:val="none"/>
              </w:rPr>
              <w:t xml:space="preserve">1</w:t>
            </w:r>
            <w:r/>
          </w:p>
        </w:tc>
        <w:tc>
          <w:tcPr>
            <w:tcW w:w="1644" w:type="dxa"/>
            <w:vAlign w:val="center"/>
            <w:textDirection w:val="lrTb"/>
            <w:noWrap/>
          </w:tcPr>
          <w:p>
            <w:pPr>
              <w:pStyle w:val="930"/>
              <w:jc w:val="center"/>
              <w:spacing w:line="240" w:lineRule="auto"/>
              <w:rPr>
                <w:rStyle w:val="855"/>
                <w:rFonts w:hint="eastAsia" w:ascii="宋体" w:hAnsi="宋体" w:cs="仿宋"/>
                <w:bCs/>
                <w:color w:val="auto"/>
                <w:szCs w:val="21"/>
                <w:highlight w:val="none"/>
              </w:rPr>
            </w:pPr>
            <w:r>
              <w:rPr>
                <w:rStyle w:val="855"/>
                <w:rFonts w:hint="eastAsia" w:ascii="宋体" w:hAnsi="宋体" w:cs="仿宋"/>
                <w:bCs/>
                <w:color w:val="auto"/>
                <w:szCs w:val="21"/>
                <w:highlight w:val="none"/>
              </w:rPr>
              <w:t xml:space="preserve">设备在线率</w:t>
            </w:r>
            <w:r/>
          </w:p>
        </w:tc>
        <w:tc>
          <w:tcPr>
            <w:tcW w:w="3792" w:type="dxa"/>
            <w:vAlign w:val="center"/>
            <w:textDirection w:val="lrTb"/>
            <w:noWrap/>
          </w:tcPr>
          <w:p>
            <w:pPr>
              <w:pStyle w:val="930"/>
              <w:jc w:val="left"/>
              <w:spacing w:line="240" w:lineRule="auto"/>
              <w:rPr>
                <w:rStyle w:val="855"/>
                <w:rFonts w:hint="eastAsia" w:ascii="宋体" w:hAnsi="宋体" w:cs="仿宋"/>
                <w:bCs/>
                <w:color w:val="auto"/>
                <w:szCs w:val="21"/>
                <w:highlight w:val="none"/>
              </w:rPr>
            </w:pPr>
            <w:r>
              <w:rPr>
                <w:rStyle w:val="855"/>
                <w:rFonts w:hint="eastAsia" w:ascii="宋体" w:hAnsi="宋体" w:cs="仿宋"/>
                <w:bCs/>
                <w:color w:val="auto"/>
                <w:szCs w:val="21"/>
                <w:highlight w:val="none"/>
              </w:rPr>
              <w:t xml:space="preserve">自建前端在线率≥99%</w:t>
            </w:r>
            <w:r/>
          </w:p>
          <w:p>
            <w:pPr>
              <w:pStyle w:val="930"/>
              <w:jc w:val="left"/>
              <w:spacing w:line="240" w:lineRule="auto"/>
              <w:rPr>
                <w:rStyle w:val="855"/>
                <w:rFonts w:hint="eastAsia" w:ascii="宋体" w:hAnsi="宋体" w:cs="仿宋"/>
                <w:bCs/>
                <w:color w:val="auto"/>
                <w:szCs w:val="21"/>
                <w:highlight w:val="none"/>
              </w:rPr>
            </w:pPr>
            <w:r>
              <w:rPr>
                <w:rStyle w:val="855"/>
                <w:rFonts w:hint="eastAsia" w:ascii="宋体" w:hAnsi="宋体" w:cs="仿宋"/>
                <w:bCs/>
                <w:color w:val="auto"/>
                <w:szCs w:val="21"/>
                <w:highlight w:val="none"/>
              </w:rPr>
              <w:t xml:space="preserve">网关设备在线率≥95%。</w:t>
            </w:r>
            <w:r/>
          </w:p>
          <w:p>
            <w:pPr>
              <w:pStyle w:val="930"/>
              <w:jc w:val="left"/>
              <w:spacing w:line="240" w:lineRule="auto"/>
              <w:rPr>
                <w:rStyle w:val="855"/>
                <w:rFonts w:hint="eastAsia" w:ascii="宋体" w:hAnsi="宋体" w:cs="仿宋"/>
                <w:bCs/>
                <w:color w:val="auto"/>
                <w:szCs w:val="21"/>
                <w:highlight w:val="none"/>
              </w:rPr>
            </w:pPr>
            <w:r>
              <w:rPr>
                <w:rStyle w:val="855"/>
                <w:rFonts w:hint="eastAsia" w:ascii="宋体" w:hAnsi="宋体" w:cs="仿宋"/>
                <w:bCs/>
                <w:color w:val="auto"/>
                <w:szCs w:val="21"/>
                <w:highlight w:val="none"/>
              </w:rPr>
              <w:t xml:space="preserve">以每天系统在线状态截图为准（含日期、设备名称和编号）。</w:t>
            </w:r>
            <w:r/>
          </w:p>
        </w:tc>
        <w:tc>
          <w:tcPr>
            <w:tcW w:w="3755" w:type="dxa"/>
            <w:vAlign w:val="center"/>
            <w:textDirection w:val="lrTb"/>
            <w:noWrap/>
          </w:tcPr>
          <w:p>
            <w:pPr>
              <w:pStyle w:val="930"/>
              <w:jc w:val="left"/>
              <w:spacing w:line="240" w:lineRule="auto"/>
              <w:rPr>
                <w:rStyle w:val="855"/>
                <w:rFonts w:hint="eastAsia" w:ascii="宋体" w:hAnsi="宋体" w:cs="仿宋"/>
                <w:bCs/>
                <w:color w:val="auto"/>
                <w:szCs w:val="21"/>
                <w:highlight w:val="none"/>
              </w:rPr>
            </w:pPr>
            <w:r>
              <w:rPr>
                <w:rStyle w:val="855"/>
                <w:rFonts w:hint="eastAsia" w:ascii="宋体" w:hAnsi="宋体" w:cs="仿宋"/>
                <w:bCs/>
                <w:color w:val="auto"/>
                <w:szCs w:val="21"/>
                <w:highlight w:val="none"/>
              </w:rPr>
              <w:t xml:space="preserve">发生不响应考核内容指标的情形，每次（每天计为1次）扣2分。</w:t>
            </w:r>
            <w:r/>
          </w:p>
          <w:p>
            <w:pPr>
              <w:pStyle w:val="930"/>
              <w:jc w:val="left"/>
              <w:spacing w:line="240" w:lineRule="auto"/>
              <w:rPr>
                <w:rStyle w:val="855"/>
                <w:rFonts w:hint="eastAsia" w:ascii="宋体" w:hAnsi="宋体" w:cs="仿宋"/>
                <w:bCs/>
                <w:color w:val="auto"/>
                <w:szCs w:val="21"/>
                <w:highlight w:val="none"/>
              </w:rPr>
            </w:pPr>
            <w:r>
              <w:rPr>
                <w:rStyle w:val="855"/>
                <w:rFonts w:hint="eastAsia" w:ascii="宋体" w:hAnsi="宋体" w:cs="仿宋"/>
                <w:bCs/>
                <w:color w:val="auto"/>
                <w:szCs w:val="21"/>
                <w:highlight w:val="none"/>
              </w:rPr>
              <w:t xml:space="preserve">要求：当月在线率汇总表报由招标方签字确认。</w:t>
            </w:r>
            <w:r/>
          </w:p>
        </w:tc>
      </w:tr>
      <w:tr>
        <w:trPr>
          <w:jc w:val="center"/>
        </w:trPr>
        <w:tc>
          <w:tcPr>
            <w:tcW w:w="717" w:type="dxa"/>
            <w:vAlign w:val="center"/>
            <w:textDirection w:val="lrTb"/>
            <w:noWrap/>
          </w:tcPr>
          <w:p>
            <w:pPr>
              <w:pStyle w:val="930"/>
              <w:jc w:val="center"/>
              <w:spacing w:line="240" w:lineRule="auto"/>
              <w:rPr>
                <w:rStyle w:val="855"/>
                <w:rFonts w:hint="eastAsia" w:ascii="宋体" w:hAnsi="宋体" w:cs="仿宋"/>
                <w:bCs/>
                <w:color w:val="auto"/>
                <w:szCs w:val="21"/>
                <w:highlight w:val="none"/>
              </w:rPr>
            </w:pPr>
            <w:r>
              <w:rPr>
                <w:rStyle w:val="855"/>
                <w:rFonts w:hint="eastAsia" w:ascii="宋体" w:hAnsi="宋体" w:cs="仿宋"/>
                <w:bCs/>
                <w:color w:val="auto"/>
                <w:szCs w:val="21"/>
                <w:highlight w:val="none"/>
              </w:rPr>
              <w:t xml:space="preserve">2</w:t>
            </w:r>
            <w:r/>
          </w:p>
        </w:tc>
        <w:tc>
          <w:tcPr>
            <w:tcW w:w="1644" w:type="dxa"/>
            <w:vAlign w:val="center"/>
            <w:textDirection w:val="lrTb"/>
            <w:noWrap/>
          </w:tcPr>
          <w:p>
            <w:pPr>
              <w:pStyle w:val="930"/>
              <w:jc w:val="center"/>
              <w:spacing w:line="240" w:lineRule="auto"/>
              <w:rPr>
                <w:rStyle w:val="855"/>
                <w:rFonts w:hint="eastAsia" w:ascii="宋体" w:hAnsi="宋体" w:cs="仿宋"/>
                <w:bCs/>
                <w:color w:val="auto"/>
                <w:szCs w:val="21"/>
                <w:highlight w:val="none"/>
              </w:rPr>
            </w:pPr>
            <w:r>
              <w:rPr>
                <w:rStyle w:val="855"/>
                <w:rFonts w:hint="eastAsia" w:ascii="宋体" w:hAnsi="宋体" w:cs="仿宋"/>
                <w:bCs/>
                <w:color w:val="auto"/>
                <w:szCs w:val="21"/>
                <w:highlight w:val="none"/>
              </w:rPr>
              <w:t xml:space="preserve">离线修复响应</w:t>
            </w:r>
            <w:r/>
          </w:p>
        </w:tc>
        <w:tc>
          <w:tcPr>
            <w:tcW w:w="3792" w:type="dxa"/>
            <w:vAlign w:val="center"/>
            <w:textDirection w:val="lrTb"/>
            <w:noWrap/>
          </w:tcPr>
          <w:p>
            <w:pPr>
              <w:pStyle w:val="930"/>
              <w:jc w:val="left"/>
              <w:spacing w:line="240" w:lineRule="auto"/>
              <w:rPr>
                <w:rStyle w:val="855"/>
                <w:rFonts w:hint="eastAsia" w:ascii="宋体" w:hAnsi="宋体" w:cs="仿宋"/>
                <w:bCs/>
                <w:color w:val="auto"/>
                <w:szCs w:val="21"/>
                <w:highlight w:val="none"/>
              </w:rPr>
            </w:pPr>
            <w:r>
              <w:rPr>
                <w:rStyle w:val="855"/>
                <w:rFonts w:hint="eastAsia" w:ascii="宋体" w:hAnsi="宋体" w:cs="仿宋"/>
                <w:bCs/>
                <w:color w:val="auto"/>
                <w:szCs w:val="21"/>
                <w:highlight w:val="none"/>
              </w:rPr>
              <w:t xml:space="preserve">自建前端和网关设备，从离线至恢复上线，修复时间≤24小时。</w:t>
            </w:r>
            <w:r/>
          </w:p>
          <w:p>
            <w:pPr>
              <w:pStyle w:val="930"/>
              <w:jc w:val="left"/>
              <w:spacing w:line="240" w:lineRule="auto"/>
              <w:rPr>
                <w:rStyle w:val="855"/>
                <w:rFonts w:hint="eastAsia" w:ascii="宋体" w:hAnsi="宋体" w:cs="仿宋"/>
                <w:bCs/>
                <w:color w:val="auto"/>
                <w:szCs w:val="21"/>
                <w:highlight w:val="none"/>
              </w:rPr>
            </w:pPr>
            <w:r>
              <w:rPr>
                <w:rStyle w:val="855"/>
                <w:rFonts w:hint="eastAsia" w:ascii="宋体" w:hAnsi="宋体" w:cs="仿宋"/>
                <w:bCs/>
                <w:color w:val="auto"/>
                <w:szCs w:val="21"/>
                <w:highlight w:val="none"/>
              </w:rPr>
              <w:t xml:space="preserve">以每天系统统计时间截图为准（含日期、设备名称和编号）。</w:t>
            </w:r>
            <w:r/>
          </w:p>
        </w:tc>
        <w:tc>
          <w:tcPr>
            <w:tcW w:w="3755" w:type="dxa"/>
            <w:vAlign w:val="center"/>
            <w:textDirection w:val="lrTb"/>
            <w:noWrap/>
          </w:tcPr>
          <w:p>
            <w:pPr>
              <w:pStyle w:val="930"/>
              <w:jc w:val="left"/>
              <w:spacing w:line="240" w:lineRule="auto"/>
              <w:rPr>
                <w:rStyle w:val="855"/>
                <w:rFonts w:hint="eastAsia" w:ascii="宋体" w:hAnsi="宋体" w:cs="仿宋"/>
                <w:bCs/>
                <w:color w:val="auto"/>
                <w:szCs w:val="21"/>
                <w:highlight w:val="none"/>
              </w:rPr>
            </w:pPr>
            <w:r>
              <w:rPr>
                <w:rStyle w:val="855"/>
                <w:rFonts w:hint="eastAsia" w:ascii="宋体" w:hAnsi="宋体" w:cs="仿宋"/>
                <w:bCs/>
                <w:color w:val="auto"/>
                <w:szCs w:val="21"/>
                <w:highlight w:val="none"/>
              </w:rPr>
              <w:t xml:space="preserve">发生不响应考核内容指标的情形，每个设备每次扣1分。当月考核分扣完为止。</w:t>
            </w:r>
            <w:r/>
          </w:p>
          <w:p>
            <w:pPr>
              <w:pStyle w:val="930"/>
              <w:jc w:val="left"/>
              <w:spacing w:line="240" w:lineRule="auto"/>
              <w:rPr>
                <w:rStyle w:val="855"/>
                <w:rFonts w:hint="eastAsia" w:ascii="宋体" w:hAnsi="宋体" w:cs="仿宋"/>
                <w:bCs/>
                <w:color w:val="auto"/>
                <w:szCs w:val="21"/>
                <w:highlight w:val="none"/>
              </w:rPr>
            </w:pPr>
            <w:r>
              <w:rPr>
                <w:rStyle w:val="855"/>
                <w:rFonts w:hint="eastAsia" w:ascii="宋体" w:hAnsi="宋体" w:cs="仿宋"/>
                <w:bCs/>
                <w:color w:val="auto"/>
                <w:szCs w:val="21"/>
                <w:highlight w:val="none"/>
              </w:rPr>
              <w:t xml:space="preserve">要求：提供维修过程记录单，由招标方签字确认。</w:t>
            </w:r>
            <w:r/>
          </w:p>
        </w:tc>
      </w:tr>
      <w:tr>
        <w:trPr>
          <w:jc w:val="center"/>
        </w:trPr>
        <w:tc>
          <w:tcPr>
            <w:tcW w:w="717" w:type="dxa"/>
            <w:vAlign w:val="center"/>
            <w:textDirection w:val="lrTb"/>
            <w:noWrap/>
          </w:tcPr>
          <w:p>
            <w:pPr>
              <w:pStyle w:val="930"/>
              <w:jc w:val="center"/>
              <w:spacing w:line="240" w:lineRule="auto"/>
              <w:rPr>
                <w:rStyle w:val="855"/>
                <w:rFonts w:hint="eastAsia" w:ascii="宋体" w:hAnsi="宋体" w:cs="仿宋"/>
                <w:bCs/>
                <w:color w:val="auto"/>
                <w:szCs w:val="21"/>
                <w:highlight w:val="none"/>
              </w:rPr>
            </w:pPr>
            <w:r>
              <w:rPr>
                <w:rStyle w:val="855"/>
                <w:rFonts w:hint="eastAsia" w:ascii="宋体" w:hAnsi="宋体" w:cs="仿宋"/>
                <w:bCs/>
                <w:color w:val="auto"/>
                <w:szCs w:val="21"/>
                <w:highlight w:val="none"/>
              </w:rPr>
              <w:t xml:space="preserve">3</w:t>
            </w:r>
            <w:r/>
          </w:p>
        </w:tc>
        <w:tc>
          <w:tcPr>
            <w:tcW w:w="1644" w:type="dxa"/>
            <w:vAlign w:val="center"/>
            <w:textDirection w:val="lrTb"/>
            <w:noWrap/>
          </w:tcPr>
          <w:p>
            <w:pPr>
              <w:pStyle w:val="930"/>
              <w:jc w:val="center"/>
              <w:spacing w:line="240" w:lineRule="auto"/>
              <w:rPr>
                <w:rStyle w:val="855"/>
                <w:rFonts w:ascii="宋体" w:hAnsi="宋体" w:cs="仿宋"/>
                <w:bCs/>
                <w:color w:val="auto"/>
                <w:szCs w:val="21"/>
                <w:highlight w:val="none"/>
              </w:rPr>
            </w:pPr>
            <w:r>
              <w:rPr>
                <w:rStyle w:val="855"/>
                <w:rFonts w:hint="eastAsia" w:ascii="宋体" w:hAnsi="宋体" w:cs="仿宋"/>
                <w:bCs/>
                <w:color w:val="auto"/>
                <w:szCs w:val="21"/>
                <w:highlight w:val="none"/>
              </w:rPr>
              <w:t xml:space="preserve">应急保障响应</w:t>
            </w:r>
            <w:r/>
          </w:p>
        </w:tc>
        <w:tc>
          <w:tcPr>
            <w:tcW w:w="3792" w:type="dxa"/>
            <w:vAlign w:val="center"/>
            <w:textDirection w:val="lrTb"/>
            <w:noWrap/>
          </w:tcPr>
          <w:p>
            <w:pPr>
              <w:pStyle w:val="930"/>
              <w:jc w:val="left"/>
              <w:spacing w:line="240" w:lineRule="auto"/>
              <w:rPr>
                <w:rStyle w:val="855"/>
                <w:rFonts w:ascii="宋体" w:hAnsi="宋体" w:cs="仿宋"/>
                <w:bCs/>
                <w:color w:val="auto"/>
                <w:szCs w:val="21"/>
                <w:highlight w:val="none"/>
              </w:rPr>
            </w:pPr>
            <w:r>
              <w:rPr>
                <w:rStyle w:val="855"/>
                <w:rFonts w:hint="eastAsia" w:ascii="宋体" w:hAnsi="宋体" w:cs="仿宋"/>
                <w:bCs/>
                <w:color w:val="auto"/>
                <w:szCs w:val="21"/>
                <w:highlight w:val="none"/>
              </w:rPr>
              <w:t xml:space="preserve">遇有重大会议、大型赛事娱乐等重点安保活动时，中标供应商要按招标方要求，安排技术人员全程提供现场保障。</w:t>
            </w:r>
            <w:r/>
          </w:p>
        </w:tc>
        <w:tc>
          <w:tcPr>
            <w:tcW w:w="3755" w:type="dxa"/>
            <w:vAlign w:val="center"/>
            <w:textDirection w:val="lrTb"/>
            <w:noWrap/>
          </w:tcPr>
          <w:p>
            <w:pPr>
              <w:pStyle w:val="930"/>
              <w:jc w:val="left"/>
              <w:spacing w:line="240" w:lineRule="auto"/>
              <w:rPr>
                <w:rStyle w:val="855"/>
                <w:rFonts w:hint="eastAsia" w:ascii="宋体" w:hAnsi="宋体" w:cs="仿宋"/>
                <w:bCs/>
                <w:color w:val="auto"/>
                <w:szCs w:val="21"/>
                <w:highlight w:val="none"/>
              </w:rPr>
            </w:pPr>
            <w:r>
              <w:rPr>
                <w:rStyle w:val="855"/>
                <w:rFonts w:hint="eastAsia" w:ascii="宋体" w:hAnsi="宋体" w:cs="仿宋"/>
                <w:bCs/>
                <w:color w:val="auto"/>
                <w:szCs w:val="21"/>
                <w:highlight w:val="none"/>
              </w:rPr>
              <w:t xml:space="preserve">未按要求做好保障工作或不安排人员，每次扣5分。</w:t>
            </w:r>
            <w:r/>
          </w:p>
          <w:p>
            <w:pPr>
              <w:pStyle w:val="930"/>
              <w:jc w:val="left"/>
              <w:spacing w:line="240" w:lineRule="auto"/>
              <w:rPr>
                <w:rStyle w:val="855"/>
                <w:rFonts w:ascii="宋体" w:hAnsi="宋体" w:cs="仿宋"/>
                <w:bCs/>
                <w:color w:val="auto"/>
                <w:szCs w:val="21"/>
                <w:highlight w:val="none"/>
              </w:rPr>
            </w:pPr>
            <w:r>
              <w:rPr>
                <w:rStyle w:val="855"/>
                <w:rFonts w:hint="eastAsia" w:ascii="宋体" w:hAnsi="宋体" w:cs="仿宋"/>
                <w:bCs/>
                <w:color w:val="auto"/>
                <w:szCs w:val="21"/>
                <w:highlight w:val="none"/>
              </w:rPr>
              <w:t xml:space="preserve">活动结束后，提供活动保障工作日志，由招标方签字确认。</w:t>
            </w:r>
            <w:r/>
          </w:p>
        </w:tc>
      </w:tr>
      <w:tr>
        <w:trPr>
          <w:jc w:val="center"/>
          <w:trHeight w:val="793"/>
        </w:trPr>
        <w:tc>
          <w:tcPr>
            <w:gridSpan w:val="4"/>
            <w:tcW w:w="9908" w:type="dxa"/>
            <w:textDirection w:val="lrTb"/>
            <w:noWrap/>
          </w:tcPr>
          <w:p>
            <w:pPr>
              <w:pStyle w:val="930"/>
              <w:spacing w:line="240" w:lineRule="auto"/>
              <w:rPr>
                <w:rStyle w:val="855"/>
                <w:rFonts w:ascii="宋体" w:hAnsi="宋体"/>
                <w:bCs/>
                <w:color w:val="auto"/>
                <w:szCs w:val="21"/>
                <w:highlight w:val="none"/>
              </w:rPr>
            </w:pPr>
            <w:r>
              <w:rPr>
                <w:rStyle w:val="855"/>
                <w:rFonts w:hint="eastAsia" w:ascii="宋体" w:hAnsi="宋体"/>
                <w:bCs/>
                <w:color w:val="auto"/>
                <w:szCs w:val="21"/>
                <w:highlight w:val="none"/>
              </w:rPr>
              <w:t xml:space="preserve">考核说明：</w:t>
            </w:r>
            <w:r/>
          </w:p>
          <w:p>
            <w:pPr>
              <w:pStyle w:val="930"/>
              <w:spacing w:line="240" w:lineRule="auto"/>
              <w:rPr>
                <w:rStyle w:val="855"/>
                <w:rFonts w:ascii="宋体" w:hAnsi="宋体"/>
                <w:bCs/>
                <w:color w:val="auto"/>
                <w:szCs w:val="21"/>
                <w:highlight w:val="none"/>
              </w:rPr>
            </w:pPr>
            <w:r>
              <w:rPr>
                <w:rStyle w:val="855"/>
                <w:rFonts w:hint="eastAsia" w:ascii="宋体" w:hAnsi="宋体"/>
                <w:bCs/>
                <w:color w:val="auto"/>
                <w:szCs w:val="21"/>
                <w:highlight w:val="none"/>
              </w:rPr>
              <w:t xml:space="preserve">1、由招标方考核小组进行考核。</w:t>
            </w:r>
            <w:r/>
          </w:p>
          <w:p>
            <w:pPr>
              <w:pStyle w:val="930"/>
              <w:spacing w:line="240" w:lineRule="auto"/>
              <w:rPr>
                <w:rStyle w:val="855"/>
                <w:rFonts w:ascii="宋体" w:hAnsi="宋体"/>
                <w:bCs/>
                <w:color w:val="auto"/>
                <w:szCs w:val="21"/>
                <w:highlight w:val="none"/>
              </w:rPr>
            </w:pPr>
            <w:r>
              <w:rPr>
                <w:rStyle w:val="855"/>
                <w:rFonts w:hint="eastAsia" w:ascii="宋体" w:hAnsi="宋体"/>
                <w:bCs/>
                <w:color w:val="auto"/>
                <w:szCs w:val="21"/>
                <w:highlight w:val="none"/>
              </w:rPr>
              <w:t xml:space="preserve">2、考核以月为一个记分周期，付款考核得分=100-每年考核累计扣分。</w:t>
            </w:r>
            <w:r/>
          </w:p>
          <w:p>
            <w:pPr>
              <w:pStyle w:val="930"/>
              <w:spacing w:line="240" w:lineRule="auto"/>
              <w:rPr>
                <w:rStyle w:val="855"/>
                <w:rFonts w:ascii="宋体" w:hAnsi="宋体"/>
                <w:bCs/>
                <w:color w:val="auto"/>
                <w:szCs w:val="21"/>
                <w:highlight w:val="none"/>
              </w:rPr>
            </w:pPr>
            <w:r>
              <w:rPr>
                <w:rStyle w:val="855"/>
                <w:rFonts w:hint="eastAsia" w:ascii="宋体" w:hAnsi="宋体"/>
                <w:bCs/>
                <w:color w:val="auto"/>
                <w:szCs w:val="21"/>
                <w:highlight w:val="none"/>
              </w:rPr>
              <w:t xml:space="preserve">3、考核结果作为费用结算的依据。</w:t>
            </w:r>
            <w:r/>
          </w:p>
          <w:p>
            <w:pPr>
              <w:pStyle w:val="930"/>
              <w:spacing w:line="240" w:lineRule="auto"/>
              <w:rPr>
                <w:rStyle w:val="855"/>
                <w:rFonts w:ascii="宋体" w:hAnsi="宋体"/>
                <w:bCs/>
                <w:color w:val="auto"/>
                <w:szCs w:val="21"/>
                <w:highlight w:val="none"/>
              </w:rPr>
            </w:pPr>
            <w:r>
              <w:rPr>
                <w:rStyle w:val="855"/>
                <w:rFonts w:hint="eastAsia" w:ascii="宋体" w:hAnsi="宋体"/>
                <w:bCs/>
                <w:color w:val="auto"/>
                <w:szCs w:val="21"/>
                <w:highlight w:val="none"/>
              </w:rPr>
              <w:t xml:space="preserve">（1）考核成绩在95分以上（含95分）支付费用标准的100%；</w:t>
            </w:r>
            <w:r/>
          </w:p>
          <w:p>
            <w:pPr>
              <w:pStyle w:val="930"/>
              <w:spacing w:line="240" w:lineRule="auto"/>
              <w:rPr>
                <w:rStyle w:val="855"/>
                <w:rFonts w:ascii="宋体" w:hAnsi="宋体"/>
                <w:bCs/>
                <w:color w:val="auto"/>
                <w:szCs w:val="21"/>
                <w:highlight w:val="none"/>
              </w:rPr>
            </w:pPr>
            <w:r>
              <w:rPr>
                <w:rStyle w:val="855"/>
                <w:rFonts w:hint="eastAsia" w:ascii="宋体" w:hAnsi="宋体"/>
                <w:bCs/>
                <w:color w:val="auto"/>
                <w:szCs w:val="21"/>
                <w:highlight w:val="none"/>
              </w:rPr>
              <w:t xml:space="preserve">（2）考核成绩在95—85分（不含95分）之间的，支付费用标准的98%；</w:t>
            </w:r>
            <w:r/>
          </w:p>
          <w:p>
            <w:pPr>
              <w:pStyle w:val="930"/>
              <w:spacing w:line="240" w:lineRule="auto"/>
              <w:rPr>
                <w:rStyle w:val="855"/>
                <w:rFonts w:ascii="宋体" w:hAnsi="宋体"/>
                <w:bCs/>
                <w:color w:val="auto"/>
                <w:szCs w:val="21"/>
                <w:highlight w:val="none"/>
              </w:rPr>
            </w:pPr>
            <w:r>
              <w:rPr>
                <w:rStyle w:val="855"/>
                <w:rFonts w:hint="eastAsia" w:ascii="宋体" w:hAnsi="宋体"/>
                <w:bCs/>
                <w:color w:val="auto"/>
                <w:szCs w:val="21"/>
                <w:highlight w:val="none"/>
              </w:rPr>
              <w:t xml:space="preserve">（3）考核成绩在85—75分（含85分）之间的，支付费用标准的95%；</w:t>
            </w:r>
            <w:r/>
          </w:p>
          <w:p>
            <w:pPr>
              <w:pStyle w:val="930"/>
              <w:spacing w:line="240" w:lineRule="auto"/>
              <w:rPr>
                <w:rStyle w:val="855"/>
                <w:rFonts w:ascii="宋体" w:hAnsi="宋体"/>
                <w:bCs/>
                <w:color w:val="auto"/>
                <w:szCs w:val="21"/>
                <w:highlight w:val="none"/>
              </w:rPr>
            </w:pPr>
            <w:r>
              <w:rPr>
                <w:rStyle w:val="855"/>
                <w:rFonts w:hint="eastAsia" w:ascii="宋体" w:hAnsi="宋体"/>
                <w:bCs/>
                <w:color w:val="auto"/>
                <w:szCs w:val="21"/>
                <w:highlight w:val="none"/>
              </w:rPr>
              <w:t xml:space="preserve">（4）考核成绩在75分及以下的视为考核不合格，不支付费用。</w:t>
            </w:r>
            <w:r/>
          </w:p>
          <w:p>
            <w:pPr>
              <w:pStyle w:val="930"/>
              <w:spacing w:line="240" w:lineRule="auto"/>
              <w:rPr>
                <w:rStyle w:val="855"/>
                <w:rFonts w:ascii="宋体" w:hAnsi="宋体"/>
                <w:bCs/>
                <w:color w:val="auto"/>
                <w:szCs w:val="21"/>
                <w:highlight w:val="none"/>
              </w:rPr>
            </w:pPr>
            <w:r>
              <w:rPr>
                <w:rStyle w:val="855"/>
                <w:rFonts w:hint="eastAsia" w:ascii="宋体" w:hAnsi="宋体"/>
                <w:bCs/>
                <w:color w:val="auto"/>
                <w:szCs w:val="21"/>
                <w:highlight w:val="none"/>
              </w:rPr>
              <w:t xml:space="preserve">注：供应商在服务期限内停止服务或年度考核结果均低于75分的，解除与该供应商的合同。</w:t>
            </w:r>
            <w:r/>
          </w:p>
          <w:p>
            <w:pPr>
              <w:pStyle w:val="930"/>
              <w:ind w:firstLine="480"/>
              <w:spacing w:line="240" w:lineRule="auto"/>
              <w:rPr>
                <w:rStyle w:val="855"/>
                <w:rFonts w:ascii="宋体" w:hAnsi="宋体"/>
                <w:bCs/>
                <w:color w:val="auto"/>
                <w:szCs w:val="21"/>
                <w:highlight w:val="none"/>
              </w:rPr>
            </w:pPr>
            <w:r>
              <w:rPr>
                <w:rStyle w:val="855"/>
                <w:rFonts w:hint="eastAsia" w:ascii="宋体" w:hAnsi="宋体"/>
                <w:bCs/>
                <w:color w:val="auto"/>
                <w:szCs w:val="21"/>
                <w:highlight w:val="none"/>
              </w:rPr>
              <w:t xml:space="preserve">供应商在服务期限内中断服务的，扣除中断期间的所有费用。</w:t>
            </w:r>
            <w:r/>
          </w:p>
        </w:tc>
      </w:tr>
    </w:tbl>
    <w:p>
      <w:pPr>
        <w:pStyle w:val="877"/>
        <w:rPr>
          <w:color w:val="auto"/>
          <w:highlight w:val="none"/>
        </w:rPr>
      </w:pPr>
      <w:r>
        <w:rPr>
          <w:color w:val="auto"/>
          <w:highlight w:val="none"/>
        </w:rPr>
      </w:r>
      <w:r/>
    </w:p>
    <w:p>
      <w:pPr>
        <w:ind w:firstLine="482"/>
        <w:spacing w:line="440" w:lineRule="exact"/>
        <w:rPr>
          <w:rStyle w:val="924"/>
          <w:rFonts w:ascii="宋体" w:hAnsi="宋体" w:cs="宋体"/>
          <w:color w:val="auto"/>
          <w:sz w:val="24"/>
          <w:szCs w:val="24"/>
          <w:highlight w:val="none"/>
        </w:rPr>
      </w:pPr>
      <w:r>
        <w:rPr>
          <w:rStyle w:val="924"/>
          <w:rFonts w:hint="eastAsia" w:ascii="宋体" w:hAnsi="宋体" w:cs="宋体"/>
          <w:b/>
          <w:bCs/>
          <w:color w:val="auto"/>
          <w:sz w:val="24"/>
          <w:szCs w:val="24"/>
          <w:highlight w:val="none"/>
        </w:rPr>
        <w:t xml:space="preserve">八、采购标的需实现的功能或者目标，以及为落实政府采购政策需满足的要求；</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（1）节能、环保产品政策</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对照财库〔2019〕9号、财库〔2019〕19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（2）商品包装、快递包装政府采购需求标准</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rPr>
        <w:t xml:space="preserve">（3）采购本国货物、工程和服务</w:t>
      </w:r>
      <w:r/>
    </w:p>
    <w:p>
      <w:pPr>
        <w:ind w:firstLine="480"/>
        <w:spacing w:line="440" w:lineRule="exact"/>
        <w:rPr>
          <w:rFonts w:ascii="宋体" w:hAnsi="宋体" w:cs="宋体"/>
          <w:b/>
          <w:bCs/>
          <w:color w:val="auto"/>
          <w:sz w:val="24"/>
          <w:highlight w:val="none"/>
          <w:shd w:val="clear" w:color="auto" w:fill="ffffff"/>
        </w:rPr>
      </w:pPr>
      <w:r>
        <w:rPr>
          <w:rStyle w:val="924"/>
          <w:rFonts w:hint="eastAsia" w:ascii="宋体" w:hAnsi="宋体" w:cs="宋体"/>
          <w:color w:val="auto"/>
          <w:sz w:val="24"/>
          <w:szCs w:val="24"/>
          <w:highlight w:val="none"/>
        </w:rPr>
        <w:t xml:space="preserve">政府采购应当采购本国货物、工程和服务，但有《中华人民共和国政府采购法》第十条规定情形的除外。</w:t>
      </w:r>
      <w:bookmarkStart w:id="112" w:name="_Toc143102494"/>
      <w:r/>
      <w:bookmarkEnd w:id="112"/>
      <w:r/>
      <w:bookmarkStart w:id="113" w:name="_Toc17633"/>
      <w:r/>
      <w:bookmarkEnd w:id="113"/>
      <w:r/>
      <w:bookmarkStart w:id="114" w:name="_Toc81575206"/>
      <w:r/>
      <w:bookmarkStart w:id="115" w:name="_Toc176774461"/>
      <w:r/>
      <w:bookmarkStart w:id="116" w:name="_Toc81575169"/>
      <w:r/>
      <w:bookmarkStart w:id="117" w:name="_Toc7021"/>
      <w:r/>
      <w:r/>
    </w:p>
    <w:p>
      <w:pPr>
        <w:pStyle w:val="863"/>
        <w:jc w:val="both"/>
        <w:spacing w:before="0" w:beforeAutospacing="0" w:after="0" w:afterAutospacing="0" w:line="440" w:lineRule="exact"/>
        <w:rPr>
          <w:rFonts w:ascii="宋体" w:hAnsi="宋体" w:cs="宋体"/>
          <w:b/>
          <w:bCs/>
          <w:color w:val="auto"/>
          <w:highlight w:val="none"/>
          <w:shd w:val="clear" w:color="auto" w:fill="ffffff"/>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auto"/>
          <w:highlight w:val="none"/>
          <w:shd w:val="clear" w:color="auto" w:fill="ffffff"/>
        </w:rPr>
      </w:r>
      <w:r/>
    </w:p>
    <w:p>
      <w:pPr>
        <w:pStyle w:val="863"/>
        <w:jc w:val="center"/>
        <w:spacing w:before="0" w:beforeAutospacing="0" w:after="0" w:afterAutospacing="0" w:line="440" w:lineRule="exact"/>
        <w:rPr>
          <w:rFonts w:ascii="宋体" w:hAnsi="宋体" w:cs="宋体"/>
          <w:b/>
          <w:bCs/>
          <w:color w:val="auto"/>
          <w:sz w:val="44"/>
          <w:szCs w:val="44"/>
          <w:highlight w:val="none"/>
          <w:shd w:val="clear" w:color="auto" w:fill="ffffff"/>
        </w:rPr>
      </w:pPr>
      <w:r>
        <w:rPr>
          <w:rFonts w:hint="eastAsia" w:ascii="宋体" w:hAnsi="宋体" w:cs="宋体"/>
          <w:b/>
          <w:bCs/>
          <w:color w:val="auto"/>
          <w:sz w:val="44"/>
          <w:szCs w:val="44"/>
          <w:highlight w:val="none"/>
          <w:shd w:val="clear" w:color="auto" w:fill="ffffff"/>
        </w:rPr>
        <w:t xml:space="preserve">第五部分  合同格式及条款</w:t>
      </w:r>
      <w:bookmarkEnd w:id="114"/>
      <w:r/>
      <w:bookmarkEnd w:id="115"/>
      <w:r/>
      <w:bookmarkEnd w:id="116"/>
      <w:r/>
      <w:bookmarkEnd w:id="117"/>
      <w:r/>
      <w:r/>
    </w:p>
    <w:p>
      <w:pPr>
        <w:pStyle w:val="664"/>
        <w:jc w:val="center"/>
        <w:spacing w:line="440" w:lineRule="exact"/>
        <w:rPr>
          <w:rFonts w:ascii="宋体" w:hAnsi="宋体" w:eastAsia="宋体" w:cs="宋体"/>
          <w:b/>
          <w:bCs/>
          <w:color w:val="auto"/>
          <w:spacing w:val="-20"/>
          <w:sz w:val="24"/>
          <w:szCs w:val="24"/>
          <w:highlight w:val="none"/>
        </w:rPr>
      </w:pPr>
      <w:r/>
      <w:bookmarkStart w:id="118" w:name="_Toc81575207"/>
      <w:r/>
      <w:bookmarkEnd w:id="118"/>
      <w:r/>
      <w:bookmarkStart w:id="119" w:name="_Toc19649"/>
      <w:r/>
      <w:bookmarkEnd w:id="119"/>
      <w:r/>
      <w:bookmarkStart w:id="120" w:name="_Toc81575170"/>
      <w:r/>
      <w:bookmarkEnd w:id="120"/>
      <w:r>
        <w:rPr>
          <w:rFonts w:hint="eastAsia" w:ascii="宋体" w:hAnsi="宋体" w:eastAsia="宋体" w:cs="宋体"/>
          <w:color w:val="auto"/>
          <w:sz w:val="24"/>
          <w:szCs w:val="24"/>
          <w:highlight w:val="none"/>
        </w:rPr>
        <w:t xml:space="preserve"> </w:t>
      </w:r>
      <w:r/>
    </w:p>
    <w:p>
      <w:pPr>
        <w:pStyle w:val="871"/>
        <w:ind w:firstLine="482"/>
        <w:jc w:val="center"/>
        <w:spacing w:line="440" w:lineRule="exact"/>
        <w:rPr>
          <w:rFonts w:ascii="宋体" w:hAnsi="宋体" w:cs="宋体"/>
          <w:b/>
          <w:color w:val="auto"/>
          <w:sz w:val="24"/>
          <w:szCs w:val="24"/>
          <w:highlight w:val="none"/>
        </w:rPr>
      </w:pPr>
      <w:r/>
      <w:bookmarkStart w:id="121" w:name="_Toc20257"/>
      <w:r/>
      <w:bookmarkStart w:id="122" w:name="_Toc176774462"/>
      <w:r>
        <w:rPr>
          <w:rFonts w:hint="eastAsia" w:ascii="宋体" w:hAnsi="宋体" w:cs="宋体"/>
          <w:b/>
          <w:color w:val="auto"/>
          <w:sz w:val="24"/>
          <w:szCs w:val="24"/>
          <w:highlight w:val="none"/>
        </w:rPr>
        <w:t xml:space="preserve">政府采购合同（草案）</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甲方（采购人/买方）：</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乙方（供应商/卖方）：</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项目名称：</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项目编号：            </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根据《中华人民共和国政府采购法》、《中华人民共和国民法典》等法律法规的规定，甲乙双方按照项目采购结果签订本合同。</w:t>
      </w:r>
      <w:r/>
    </w:p>
    <w:p>
      <w:pPr>
        <w:pStyle w:val="923"/>
        <w:ind w:firstLine="482"/>
        <w:spacing w:line="440" w:lineRule="exact"/>
        <w:rPr>
          <w:rFonts w:hAnsi="宋体" w:cs="宋体"/>
          <w:b/>
          <w:bCs/>
          <w:color w:val="auto"/>
          <w:sz w:val="24"/>
          <w:szCs w:val="24"/>
          <w:highlight w:val="none"/>
        </w:rPr>
      </w:pPr>
      <w:r>
        <w:rPr>
          <w:rFonts w:hint="eastAsia" w:hAnsi="宋体" w:cs="宋体"/>
          <w:b/>
          <w:bCs/>
          <w:color w:val="auto"/>
          <w:sz w:val="24"/>
          <w:szCs w:val="24"/>
          <w:highlight w:val="none"/>
        </w:rPr>
        <w:t xml:space="preserve">1、合同标的</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乙方根据甲方需求，提供下列服务：</w:t>
      </w:r>
      <w:r>
        <w:rPr>
          <w:rFonts w:hint="eastAsia" w:hAnsi="宋体" w:cs="宋体"/>
          <w:color w:val="auto"/>
          <w:sz w:val="24"/>
          <w:szCs w:val="24"/>
          <w:highlight w:val="none"/>
          <w:u w:val="single"/>
          <w:lang w:val="en-US" w:eastAsia="zh-CN"/>
        </w:rPr>
        <w:t xml:space="preserve">      </w:t>
      </w:r>
      <w:r>
        <w:rPr>
          <w:rFonts w:hint="eastAsia" w:hAnsi="宋体" w:cs="宋体"/>
          <w:color w:val="auto"/>
          <w:sz w:val="24"/>
          <w:szCs w:val="24"/>
          <w:highlight w:val="none"/>
        </w:rPr>
        <w:t xml:space="preserve">。</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如因政策原因导致方案名称和年份发生变化，合同继续执行。</w:t>
      </w:r>
      <w:r/>
    </w:p>
    <w:p>
      <w:pPr>
        <w:pStyle w:val="923"/>
        <w:ind w:firstLine="480"/>
        <w:spacing w:line="440" w:lineRule="exact"/>
        <w:rPr>
          <w:rFonts w:hAnsi="宋体" w:cs="宋体"/>
          <w:b/>
          <w:bCs/>
          <w:color w:val="auto"/>
          <w:sz w:val="24"/>
          <w:szCs w:val="24"/>
          <w:highlight w:val="none"/>
        </w:rPr>
      </w:pPr>
      <w:r>
        <w:rPr>
          <w:rFonts w:hint="eastAsia" w:hAnsi="宋体" w:cs="宋体"/>
          <w:color w:val="auto"/>
          <w:sz w:val="24"/>
          <w:szCs w:val="24"/>
          <w:highlight w:val="none"/>
        </w:rPr>
        <w:t xml:space="preserve">服务内容等要求详见招投标文件。</w:t>
      </w:r>
      <w:r/>
    </w:p>
    <w:p>
      <w:pPr>
        <w:pStyle w:val="923"/>
        <w:ind w:firstLine="482"/>
        <w:spacing w:line="440" w:lineRule="exact"/>
        <w:rPr>
          <w:rFonts w:hAnsi="宋体" w:cs="宋体"/>
          <w:b/>
          <w:bCs/>
          <w:color w:val="auto"/>
          <w:sz w:val="24"/>
          <w:szCs w:val="24"/>
          <w:highlight w:val="none"/>
        </w:rPr>
      </w:pPr>
      <w:r>
        <w:rPr>
          <w:rFonts w:hint="eastAsia" w:hAnsi="宋体" w:cs="宋体"/>
          <w:b/>
          <w:bCs/>
          <w:color w:val="auto"/>
          <w:sz w:val="24"/>
          <w:szCs w:val="24"/>
          <w:highlight w:val="none"/>
        </w:rPr>
        <w:t xml:space="preserve">2、合同总金额</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2.1本合同金额为（大写）：______________元人民币（¥_____元）。</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2.2本合同总金额包括乙方提供的服务及其他有关的为完成本项目发生的所有费用，招标文件中另有规定的除外。</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2.3在招标文件未列明，而乙方认为履行本合同必需的费用也包含在合同总金额中。</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2.4 本合同总金额还包含乙方提供的伴随服务/售后服务费用。</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2.5 本合同总金额为固定单价合同。</w:t>
      </w:r>
      <w:r/>
    </w:p>
    <w:p>
      <w:pPr>
        <w:pStyle w:val="923"/>
        <w:ind w:firstLine="482"/>
        <w:spacing w:line="440" w:lineRule="exact"/>
        <w:rPr>
          <w:rFonts w:hAnsi="宋体" w:cs="宋体"/>
          <w:b/>
          <w:bCs/>
          <w:color w:val="auto"/>
          <w:sz w:val="24"/>
          <w:szCs w:val="24"/>
          <w:highlight w:val="none"/>
        </w:rPr>
      </w:pPr>
      <w:r>
        <w:rPr>
          <w:rFonts w:hint="eastAsia" w:hAnsi="宋体" w:cs="宋体"/>
          <w:b/>
          <w:bCs/>
          <w:color w:val="auto"/>
          <w:sz w:val="24"/>
          <w:szCs w:val="24"/>
          <w:highlight w:val="none"/>
        </w:rPr>
        <w:t xml:space="preserve">3、组成本合同的有关文件</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3.1乙方应按招标文件规定的时间向甲方提供服务的有关技术资料。</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3.2没有甲方事先书面同意，乙方不得将由甲方提供的有关合同或任何合同条文或资料提供给任何其他人。即使向履行本合同有关的人员提供，也应注意保密并限于履行合同的必需范围。</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3.3关于本项目政府采购的招投标文件或与本次采购活动方式相适应的文件及有关附件是本合同不可分割的组成部分，这些文件包括但不限于：</w:t>
      </w:r>
      <w:r/>
    </w:p>
    <w:p>
      <w:pPr>
        <w:pStyle w:val="923"/>
        <w:spacing w:line="440" w:lineRule="exact"/>
        <w:rPr>
          <w:rFonts w:hAnsi="宋体" w:cs="宋体"/>
          <w:color w:val="auto"/>
          <w:sz w:val="24"/>
          <w:szCs w:val="24"/>
          <w:highlight w:val="none"/>
        </w:rPr>
      </w:pPr>
      <w:r>
        <w:rPr>
          <w:rFonts w:hint="eastAsia" w:hAnsi="宋体" w:cs="宋体"/>
          <w:color w:val="auto"/>
          <w:sz w:val="24"/>
          <w:szCs w:val="24"/>
          <w:highlight w:val="none"/>
        </w:rPr>
        <w:t xml:space="preserve">   （1）投标响应文件；            （2）投标报价文件；</w:t>
      </w:r>
      <w:r/>
    </w:p>
    <w:p>
      <w:pPr>
        <w:pStyle w:val="923"/>
        <w:spacing w:line="440" w:lineRule="exact"/>
        <w:rPr>
          <w:rFonts w:hAnsi="宋体" w:cs="宋体"/>
          <w:color w:val="auto"/>
          <w:sz w:val="24"/>
          <w:szCs w:val="24"/>
          <w:highlight w:val="none"/>
        </w:rPr>
      </w:pPr>
      <w:r>
        <w:rPr>
          <w:rFonts w:hint="eastAsia" w:hAnsi="宋体" w:cs="宋体"/>
          <w:color w:val="auto"/>
          <w:sz w:val="24"/>
          <w:szCs w:val="24"/>
          <w:highlight w:val="none"/>
        </w:rPr>
        <w:t xml:space="preserve">   （3）项目组人员表               （4）技术参数、商务条款响应及偏离表；</w:t>
      </w:r>
      <w:r/>
    </w:p>
    <w:p>
      <w:pPr>
        <w:pStyle w:val="923"/>
        <w:spacing w:line="440" w:lineRule="exact"/>
        <w:rPr>
          <w:rFonts w:hAnsi="宋体" w:cs="宋体"/>
          <w:color w:val="auto"/>
          <w:sz w:val="24"/>
          <w:szCs w:val="24"/>
          <w:highlight w:val="none"/>
        </w:rPr>
      </w:pPr>
      <w:r>
        <w:rPr>
          <w:rFonts w:hint="eastAsia" w:hAnsi="宋体" w:cs="宋体"/>
          <w:color w:val="auto"/>
          <w:sz w:val="24"/>
          <w:szCs w:val="24"/>
          <w:highlight w:val="none"/>
        </w:rPr>
        <w:t xml:space="preserve">   （5）服务承诺；                （6）中标通知书；</w:t>
      </w:r>
      <w:r/>
    </w:p>
    <w:p>
      <w:pPr>
        <w:pStyle w:val="923"/>
        <w:spacing w:line="440" w:lineRule="exact"/>
        <w:rPr>
          <w:rFonts w:hAnsi="宋体" w:cs="宋体"/>
          <w:color w:val="auto"/>
          <w:sz w:val="24"/>
          <w:szCs w:val="24"/>
          <w:highlight w:val="none"/>
        </w:rPr>
      </w:pPr>
      <w:r>
        <w:rPr>
          <w:rFonts w:hint="eastAsia" w:hAnsi="宋体" w:cs="宋体"/>
          <w:color w:val="auto"/>
          <w:sz w:val="24"/>
          <w:szCs w:val="24"/>
          <w:highlight w:val="none"/>
        </w:rPr>
        <w:t xml:space="preserve">   （7）甲乙双方补充协议；        （8）乙方投标时提供的响应文件。</w:t>
      </w:r>
      <w:r/>
    </w:p>
    <w:p>
      <w:pPr>
        <w:pStyle w:val="923"/>
        <w:ind w:firstLine="482"/>
        <w:spacing w:line="440" w:lineRule="exact"/>
        <w:rPr>
          <w:rFonts w:hAnsi="宋体" w:cs="宋体"/>
          <w:b/>
          <w:bCs/>
          <w:color w:val="auto"/>
          <w:sz w:val="24"/>
          <w:szCs w:val="24"/>
          <w:highlight w:val="none"/>
        </w:rPr>
      </w:pPr>
      <w:r>
        <w:rPr>
          <w:rFonts w:hint="eastAsia" w:hAnsi="宋体" w:cs="宋体"/>
          <w:b/>
          <w:bCs/>
          <w:color w:val="auto"/>
          <w:sz w:val="24"/>
          <w:szCs w:val="24"/>
          <w:highlight w:val="none"/>
        </w:rPr>
        <w:t xml:space="preserve">4、知识产权保证</w:t>
      </w:r>
      <w:r/>
    </w:p>
    <w:p>
      <w:pPr>
        <w:pStyle w:val="871"/>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乙方保证甲方在使用、接受本合同服务或其任何一部分时，不受第三方提出侵犯其专利权、版权、商标权和工业设计权等知识产权的起诉。一旦出现侵权，由乙方负全部责任。</w:t>
      </w:r>
      <w:r/>
    </w:p>
    <w:p>
      <w:pPr>
        <w:pStyle w:val="923"/>
        <w:ind w:firstLine="482"/>
        <w:spacing w:line="440" w:lineRule="exact"/>
        <w:rPr>
          <w:rFonts w:hAnsi="宋体" w:cs="宋体"/>
          <w:b/>
          <w:bCs/>
          <w:color w:val="auto"/>
          <w:sz w:val="24"/>
          <w:szCs w:val="24"/>
          <w:highlight w:val="none"/>
        </w:rPr>
      </w:pPr>
      <w:r>
        <w:rPr>
          <w:rFonts w:hint="eastAsia" w:hAnsi="宋体" w:cs="宋体"/>
          <w:b/>
          <w:bCs/>
          <w:color w:val="auto"/>
          <w:sz w:val="24"/>
          <w:szCs w:val="24"/>
          <w:highlight w:val="none"/>
        </w:rPr>
        <w:t xml:space="preserve">5、产权保证</w:t>
      </w:r>
      <w:r/>
    </w:p>
    <w:p>
      <w:pPr>
        <w:pStyle w:val="871"/>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乙方保证所交付的服务和服务所涉及的设备所有权无任何抵押、查封等权利瑕疵。</w:t>
      </w:r>
      <w:r/>
    </w:p>
    <w:p>
      <w:pPr>
        <w:pStyle w:val="923"/>
        <w:ind w:firstLine="482"/>
        <w:spacing w:line="440" w:lineRule="exact"/>
        <w:rPr>
          <w:rFonts w:hAnsi="宋体" w:cs="宋体"/>
          <w:b/>
          <w:bCs/>
          <w:color w:val="auto"/>
          <w:sz w:val="24"/>
          <w:szCs w:val="24"/>
          <w:highlight w:val="none"/>
        </w:rPr>
      </w:pPr>
      <w:r>
        <w:rPr>
          <w:rFonts w:hint="eastAsia" w:hAnsi="宋体" w:cs="宋体"/>
          <w:b/>
          <w:bCs/>
          <w:color w:val="auto"/>
          <w:sz w:val="24"/>
          <w:szCs w:val="24"/>
          <w:highlight w:val="none"/>
        </w:rPr>
        <w:t xml:space="preserve">6、履约保证金</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zh-CN"/>
        </w:rPr>
        <w:t xml:space="preserve">履约保证金应在采购合同签订前提交，履约保证金的金额：按采购合同金额的</w:t>
      </w:r>
      <w:r>
        <w:rPr>
          <w:rFonts w:hint="eastAsia" w:ascii="宋体" w:hAnsi="宋体" w:cs="宋体"/>
          <w:color w:val="auto"/>
          <w:sz w:val="24"/>
          <w:highlight w:val="none"/>
          <w:u w:val="single"/>
          <w:lang w:val="zh-CN"/>
        </w:rPr>
        <w:t xml:space="preserve"> 2 </w:t>
      </w:r>
      <w:r>
        <w:rPr>
          <w:rFonts w:hint="eastAsia" w:ascii="宋体" w:hAnsi="宋体" w:cs="宋体"/>
          <w:color w:val="auto"/>
          <w:sz w:val="24"/>
          <w:highlight w:val="none"/>
          <w:lang w:val="zh-CN"/>
        </w:rPr>
        <w:t xml:space="preserve">%（使用江苏政府采购电子履约保函（保险）代替缴纳履约保证金，按采购合同金额的</w:t>
      </w:r>
      <w:r>
        <w:rPr>
          <w:rFonts w:hint="eastAsia" w:ascii="宋体" w:hAnsi="宋体" w:cs="宋体"/>
          <w:color w:val="auto"/>
          <w:sz w:val="24"/>
          <w:highlight w:val="none"/>
          <w:u w:val="single"/>
          <w:lang w:val="zh-CN"/>
        </w:rPr>
        <w:t xml:space="preserve">1.2</w:t>
      </w:r>
      <w:r>
        <w:rPr>
          <w:rFonts w:hint="eastAsia" w:ascii="宋体" w:hAnsi="宋体" w:cs="宋体"/>
          <w:color w:val="auto"/>
          <w:sz w:val="24"/>
          <w:highlight w:val="none"/>
          <w:lang w:val="zh-CN"/>
        </w:rPr>
        <w:t xml:space="preserve">%）计取。除银行电汇、网上银行、数字人民币外，投标人还可选用银行保函、担保公司的保证担保或保险公司的保证保险、等多种形式向采购人缴纳；</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备注：</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1.履约保证金的递交时间：在中标公告发布之日起7日历天内提交。</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2.采用银行电汇、网上银行等方式缴纳履约保证金的，应从中标人法人基本存款账户转到保证金专用账户。 </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3.采用数字人民币方式缴纳的，使用投标企业数字人民币对公钱包一次性转钱至泗洪县公共资源交易中心数字人民币钱包，并备注为</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履约保证金。</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采用银行保函、担保公司的保证担保或保险公司的保证保险形式缴纳履约保证金的，以银行保函、担保公司的保证担保或保险公司的保证保险等形式提交履约保证金的，其有效期应包括本项目供货工期的范围。以保函、担保、保险形式提交的履约保证金递交至当地公共资源交易中心。</w:t>
      </w:r>
      <w:r/>
    </w:p>
    <w:p>
      <w:pPr>
        <w:pStyle w:val="863"/>
        <w:ind w:firstLine="480"/>
        <w:jc w:val="both"/>
        <w:spacing w:before="0" w:beforeAutospacing="0" w:after="0" w:afterAutospacing="0" w:line="44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履约保证金缴退咨询电话：0527-89889051；</w:t>
      </w:r>
      <w:r/>
    </w:p>
    <w:p>
      <w:pPr>
        <w:pStyle w:val="863"/>
        <w:ind w:firstLine="480"/>
        <w:jc w:val="both"/>
        <w:spacing w:before="0" w:beforeAutospacing="0" w:after="0" w:afterAutospacing="0" w:line="44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highlight w:val="none"/>
          <w:lang w:val="zh-CN"/>
        </w:rPr>
        <w:t xml:space="preserve">履约保证金退还的条件：按以下第</w:t>
      </w:r>
      <w:r>
        <w:rPr>
          <w:rFonts w:hint="eastAsia" w:ascii="宋体" w:hAnsi="宋体" w:cs="宋体"/>
          <w:color w:val="auto"/>
          <w:highlight w:val="none"/>
          <w:u w:val="single"/>
        </w:rPr>
        <w:t xml:space="preserve">b</w:t>
      </w:r>
      <w:r>
        <w:rPr>
          <w:rFonts w:hint="eastAsia" w:ascii="宋体" w:hAnsi="宋体" w:cs="宋体"/>
          <w:color w:val="auto"/>
          <w:highlight w:val="none"/>
          <w:lang w:val="zh-CN"/>
        </w:rPr>
        <w:t xml:space="preserve">种方式实行：</w:t>
      </w:r>
      <w:r/>
    </w:p>
    <w:p>
      <w:pPr>
        <w:pStyle w:val="863"/>
        <w:ind w:firstLine="480"/>
        <w:jc w:val="both"/>
        <w:spacing w:before="0" w:beforeAutospacing="0" w:after="0" w:afterAutospacing="0" w:line="44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highlight w:val="none"/>
          <w:lang w:val="zh-CN"/>
        </w:rPr>
        <w:t xml:space="preserve">a、货物类项目，项目验收合格，出具验收报告及履约保证金收据申请退付；</w:t>
      </w:r>
      <w:r/>
    </w:p>
    <w:p>
      <w:pPr>
        <w:pStyle w:val="863"/>
        <w:ind w:firstLine="480"/>
        <w:jc w:val="both"/>
        <w:spacing w:before="0" w:beforeAutospacing="0" w:after="0" w:afterAutospacing="0" w:line="44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highlight w:val="none"/>
          <w:lang w:val="zh-CN"/>
        </w:rPr>
        <w:t xml:space="preserve">b、服务类项目，项目履约期满评价合格，出具履约评价报告及履约保证金收据申请退付；</w:t>
      </w:r>
      <w:r/>
    </w:p>
    <w:p>
      <w:pPr>
        <w:pStyle w:val="863"/>
        <w:ind w:firstLine="480"/>
        <w:jc w:val="both"/>
        <w:spacing w:before="0" w:beforeAutospacing="0" w:after="0" w:afterAutospacing="0" w:line="44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highlight w:val="none"/>
          <w:lang w:val="zh-CN"/>
        </w:rPr>
        <w:t xml:space="preserve">c、工程类项目，项目完工验收合格，出具完工证明及履约保证金收据申请退付；</w:t>
      </w:r>
      <w:r/>
    </w:p>
    <w:p>
      <w:pPr>
        <w:pStyle w:val="863"/>
        <w:ind w:firstLine="480"/>
        <w:jc w:val="both"/>
        <w:spacing w:before="0" w:beforeAutospacing="0" w:after="0" w:afterAutospacing="0" w:line="44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highlight w:val="none"/>
          <w:lang w:val="zh-CN"/>
        </w:rPr>
        <w:t xml:space="preserve">履约保证金退还时间：采购单位收到投标人退付申请后5个工作日内退还；</w:t>
      </w:r>
      <w:r/>
    </w:p>
    <w:p>
      <w:pPr>
        <w:pStyle w:val="863"/>
        <w:ind w:firstLine="480"/>
        <w:jc w:val="both"/>
        <w:spacing w:before="0" w:beforeAutospacing="0" w:after="0" w:afterAutospacing="0" w:line="44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863"/>
        <w:ind w:firstLine="480"/>
        <w:jc w:val="both"/>
        <w:spacing w:before="0" w:beforeAutospacing="0" w:after="0" w:afterAutospacing="0" w:line="44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(苏财购﹝2023﹞150号)。具体操作流程见相关网页</w:t>
      </w:r>
      <w:r>
        <w:rPr>
          <w:color w:val="auto"/>
          <w:highlight w:val="none"/>
        </w:rPr>
        <w:fldChar w:fldCharType="begin"/>
      </w:r>
      <w:r>
        <w:rPr>
          <w:color w:val="auto"/>
          <w:highlight w:val="none"/>
        </w:rPr>
        <w:instrText xml:space="preserve"> HYPERLINK "http://czt.jiangsu.gov.cn/art/2023/12/15/art_84851_11100104.html。" </w:instrText>
      </w:r>
      <w:r>
        <w:rPr>
          <w:color w:val="auto"/>
          <w:highlight w:val="none"/>
        </w:rPr>
        <w:fldChar w:fldCharType="separate"/>
      </w:r>
      <w:r>
        <w:rPr>
          <w:rStyle w:val="865"/>
          <w:rFonts w:hint="eastAsia" w:ascii="宋体" w:hAnsi="宋体" w:cs="宋体"/>
          <w:b/>
          <w:bCs/>
          <w:color w:val="auto"/>
          <w:sz w:val="24"/>
          <w:highlight w:val="none"/>
        </w:rPr>
        <w:t xml:space="preserve">http://czt.jiangsu.gov.cn/art/2023/12/15/art_84851_11100104.html。</w:t>
      </w:r>
      <w:r>
        <w:rPr>
          <w:rStyle w:val="865"/>
          <w:rFonts w:hint="eastAsia" w:ascii="宋体" w:hAnsi="宋体" w:cs="宋体"/>
          <w:b/>
          <w:bCs/>
          <w:color w:val="auto"/>
          <w:sz w:val="24"/>
          <w:highlight w:val="none"/>
        </w:rPr>
        <w:fldChar w:fldCharType="end"/>
      </w:r>
      <w:r/>
    </w:p>
    <w:p>
      <w:pPr>
        <w:pStyle w:val="923"/>
        <w:ind w:firstLine="482"/>
        <w:spacing w:line="440" w:lineRule="exact"/>
        <w:rPr>
          <w:rFonts w:hAnsi="宋体" w:cs="宋体"/>
          <w:b/>
          <w:bCs/>
          <w:color w:val="auto"/>
          <w:sz w:val="24"/>
          <w:szCs w:val="24"/>
          <w:highlight w:val="none"/>
        </w:rPr>
      </w:pPr>
      <w:r>
        <w:rPr>
          <w:rFonts w:hint="eastAsia" w:hAnsi="宋体" w:cs="宋体"/>
          <w:b/>
          <w:bCs/>
          <w:color w:val="auto"/>
          <w:sz w:val="24"/>
          <w:szCs w:val="24"/>
          <w:highlight w:val="none"/>
        </w:rPr>
        <w:t xml:space="preserve">7、转包或分包</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7.1本合同禁止转包，本合同范围的服务，应由乙方直接提供的，不得转让他人提供。</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7.2乙方不得将合同标的分包给他人履行。</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或7.2乙方应当按照投标文件中提供的分包意向协议履行合同。</w:t>
      </w:r>
      <w:r/>
    </w:p>
    <w:p>
      <w:pPr>
        <w:pStyle w:val="923"/>
        <w:ind w:firstLine="482"/>
        <w:spacing w:line="440" w:lineRule="exact"/>
        <w:rPr>
          <w:rFonts w:hAnsi="宋体" w:cs="宋体"/>
          <w:color w:val="auto"/>
          <w:sz w:val="24"/>
          <w:szCs w:val="24"/>
          <w:highlight w:val="none"/>
        </w:rPr>
      </w:pPr>
      <w:r>
        <w:rPr>
          <w:rFonts w:hint="eastAsia" w:hAnsi="宋体" w:cs="宋体"/>
          <w:b/>
          <w:bCs/>
          <w:color w:val="auto"/>
          <w:sz w:val="24"/>
          <w:szCs w:val="24"/>
          <w:highlight w:val="none"/>
        </w:rPr>
        <w:t xml:space="preserve">8、项目履约期限：</w:t>
      </w:r>
      <w:r>
        <w:rPr>
          <w:rFonts w:hint="eastAsia" w:hAnsi="宋体" w:cs="宋体"/>
          <w:color w:val="auto"/>
          <w:sz w:val="24"/>
          <w:szCs w:val="24"/>
          <w:highlight w:val="none"/>
        </w:rPr>
        <w:t xml:space="preserve">合同签订后 180 日内供货安装调试完毕并交付使用，租赁服务期三年。租赁服务期满后资产移交泗洪县公安局。</w:t>
      </w:r>
      <w:r/>
    </w:p>
    <w:p>
      <w:pPr>
        <w:pStyle w:val="923"/>
        <w:ind w:firstLine="482"/>
        <w:spacing w:line="440" w:lineRule="exact"/>
        <w:rPr>
          <w:rFonts w:hAnsi="宋体" w:cs="宋体"/>
          <w:b/>
          <w:bCs/>
          <w:color w:val="auto"/>
          <w:sz w:val="24"/>
          <w:szCs w:val="24"/>
          <w:highlight w:val="none"/>
        </w:rPr>
      </w:pPr>
      <w:r>
        <w:rPr>
          <w:rFonts w:hint="eastAsia" w:hAnsi="宋体" w:cs="宋体"/>
          <w:b/>
          <w:bCs/>
          <w:color w:val="auto"/>
          <w:sz w:val="24"/>
          <w:szCs w:val="24"/>
          <w:highlight w:val="none"/>
        </w:rPr>
        <w:t xml:space="preserve">9、服务地点</w:t>
      </w:r>
      <w:r/>
    </w:p>
    <w:p>
      <w:pPr>
        <w:pStyle w:val="923"/>
        <w:ind w:firstLine="480"/>
        <w:spacing w:line="440" w:lineRule="exact"/>
        <w:rPr>
          <w:rFonts w:hAnsi="宋体" w:cs="宋体"/>
          <w:bCs/>
          <w:color w:val="auto"/>
          <w:sz w:val="24"/>
          <w:szCs w:val="24"/>
          <w:highlight w:val="none"/>
          <w:u w:val="single"/>
        </w:rPr>
      </w:pPr>
      <w:r>
        <w:rPr>
          <w:rFonts w:hint="eastAsia" w:hAnsi="宋体" w:cs="宋体"/>
          <w:bCs/>
          <w:color w:val="auto"/>
          <w:sz w:val="24"/>
          <w:szCs w:val="24"/>
          <w:highlight w:val="none"/>
        </w:rPr>
        <w:t xml:space="preserve">9.1项目（服务）地点：</w:t>
      </w:r>
      <w:r>
        <w:rPr>
          <w:rFonts w:hint="eastAsia" w:hAnsi="宋体" w:cs="宋体"/>
          <w:bCs/>
          <w:color w:val="auto"/>
          <w:sz w:val="24"/>
          <w:szCs w:val="24"/>
          <w:highlight w:val="none"/>
          <w:u w:val="single"/>
        </w:rPr>
        <w:t xml:space="preserve">采购人指定地点</w:t>
      </w:r>
      <w:r/>
    </w:p>
    <w:p>
      <w:pPr>
        <w:pStyle w:val="923"/>
        <w:ind w:firstLine="482"/>
        <w:spacing w:line="440" w:lineRule="exact"/>
        <w:rPr>
          <w:rFonts w:hint="eastAsia" w:hAnsi="宋体" w:eastAsia="宋体" w:cs="宋体"/>
          <w:b/>
          <w:bCs/>
          <w:color w:val="auto"/>
          <w:sz w:val="24"/>
          <w:szCs w:val="24"/>
          <w:highlight w:val="none"/>
          <w:lang w:val="en-US" w:eastAsia="zh-CN"/>
        </w:rPr>
      </w:pPr>
      <w:r>
        <w:rPr>
          <w:rFonts w:hint="eastAsia" w:hAnsi="宋体" w:cs="宋体"/>
          <w:b/>
          <w:bCs/>
          <w:color w:val="auto"/>
          <w:sz w:val="24"/>
          <w:szCs w:val="24"/>
          <w:highlight w:val="none"/>
        </w:rPr>
        <w:t xml:space="preserve">10、支付</w:t>
      </w:r>
      <w:r>
        <w:rPr>
          <w:rFonts w:hint="eastAsia" w:hAnsi="宋体" w:cs="宋体"/>
          <w:b/>
          <w:bCs/>
          <w:color w:val="auto"/>
          <w:sz w:val="24"/>
          <w:szCs w:val="24"/>
          <w:highlight w:val="none"/>
          <w:lang w:val="en-US" w:eastAsia="zh-CN"/>
        </w:rPr>
        <w:t xml:space="preserve">方式</w:t>
      </w:r>
      <w:r/>
    </w:p>
    <w:p>
      <w:pPr>
        <w:pStyle w:val="877"/>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预付款：合同签订后付合同价款的30%；</w:t>
      </w:r>
      <w:r/>
    </w:p>
    <w:p>
      <w:pPr>
        <w:pStyle w:val="877"/>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进度款：设备安装交付使用经验收合格后进入租赁服务期；租赁服务满一年经考核合格后，付至合同价的40%；租赁服务满二年经考核合格后，付至结算价的70%（结合考核结果）；租赁服务期满经考核合格后，按结算价付清尾款（结合考核结果）。</w:t>
      </w:r>
      <w:r/>
    </w:p>
    <w:p>
      <w:pPr>
        <w:pStyle w:val="877"/>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pStyle w:val="877"/>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（1）可以采用数字人民币支付；</w:t>
      </w:r>
      <w:r/>
    </w:p>
    <w:p>
      <w:pPr>
        <w:pStyle w:val="877"/>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（2）资金支付的时间：收到供应商发票10个工作日内；</w:t>
      </w:r>
      <w:r/>
    </w:p>
    <w:p>
      <w:pPr>
        <w:pStyle w:val="877"/>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（3）资金支付的条件：满足相应阶段的要求且收到供应商发票；</w:t>
      </w:r>
      <w:r/>
    </w:p>
    <w:p>
      <w:pPr>
        <w:pStyle w:val="877"/>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（4）在签订合同时，供应商明确表示无需预付款或者主动要求降低预付款比例的，采购人可不适用前述规定。</w:t>
      </w:r>
      <w:r/>
    </w:p>
    <w:p>
      <w:pPr>
        <w:pStyle w:val="877"/>
        <w:ind w:firstLine="480"/>
        <w:spacing w:line="44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（5）扣除考核费用，考核细则详见考核办法。</w:t>
      </w:r>
      <w:r/>
    </w:p>
    <w:p>
      <w:pPr>
        <w:pStyle w:val="871"/>
        <w:ind w:firstLine="482"/>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11、税费</w:t>
      </w:r>
      <w:r/>
    </w:p>
    <w:p>
      <w:pPr>
        <w:pStyle w:val="923"/>
        <w:ind w:firstLine="480"/>
        <w:spacing w:line="440" w:lineRule="exact"/>
        <w:rPr>
          <w:rFonts w:hAnsi="宋体" w:cs="宋体"/>
          <w:b/>
          <w:bCs/>
          <w:color w:val="auto"/>
          <w:sz w:val="24"/>
          <w:szCs w:val="24"/>
          <w:highlight w:val="none"/>
        </w:rPr>
      </w:pPr>
      <w:r>
        <w:rPr>
          <w:rFonts w:hint="eastAsia" w:hAnsi="宋体" w:cs="宋体"/>
          <w:color w:val="auto"/>
          <w:sz w:val="24"/>
          <w:szCs w:val="24"/>
          <w:highlight w:val="none"/>
        </w:rPr>
        <w:t xml:space="preserve">本合同执行中相关的一切税费均由乙方负担。</w:t>
      </w:r>
      <w:r/>
    </w:p>
    <w:p>
      <w:pPr>
        <w:pStyle w:val="923"/>
        <w:ind w:firstLine="482"/>
        <w:spacing w:line="440" w:lineRule="exact"/>
        <w:rPr>
          <w:rFonts w:hAnsi="宋体" w:cs="宋体"/>
          <w:b/>
          <w:bCs/>
          <w:color w:val="auto"/>
          <w:sz w:val="24"/>
          <w:szCs w:val="24"/>
          <w:highlight w:val="none"/>
        </w:rPr>
      </w:pPr>
      <w:r>
        <w:rPr>
          <w:rFonts w:hint="eastAsia" w:hAnsi="宋体" w:cs="宋体"/>
          <w:b/>
          <w:bCs/>
          <w:color w:val="auto"/>
          <w:sz w:val="24"/>
          <w:szCs w:val="24"/>
          <w:highlight w:val="none"/>
        </w:rPr>
        <w:t xml:space="preserve">12、质量保证及售后服务</w:t>
      </w:r>
      <w:r/>
    </w:p>
    <w:p>
      <w:pPr>
        <w:pStyle w:val="871"/>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12.1 乙方应按采购文件规定及响应文件承诺的技术性能、技术要求、质量标准向甲方提供服务；若无特殊说明，则按国家有关部门最新颁布的标准及规范为准。</w:t>
      </w:r>
      <w:r/>
    </w:p>
    <w:p>
      <w:pPr>
        <w:pStyle w:val="871"/>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12.2乙方应保证其提供的服务是全面和规范的，并完全符合招投标文件。如因乙方提供的服务有瑕疵造成甲方损失的，所需费用由乙方承担。</w:t>
      </w:r>
      <w:r/>
    </w:p>
    <w:p>
      <w:pPr>
        <w:pStyle w:val="871"/>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12.3 如在使用过程中发生质量问题，乙方在接到甲方通知后在_________小时内到达甲方现场。</w:t>
      </w:r>
      <w:r/>
    </w:p>
    <w:p>
      <w:pPr>
        <w:pStyle w:val="871"/>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12.4 免费维保期内，乙方应对所提供服务出现的质量及安全问题负责处理解决并承担一切费用。</w:t>
      </w:r>
      <w:r/>
    </w:p>
    <w:p>
      <w:pPr>
        <w:ind w:firstLine="482"/>
        <w:spacing w:line="440" w:lineRule="exact"/>
        <w:rPr>
          <w:rStyle w:val="924"/>
          <w:rFonts w:ascii="宋体" w:hAnsi="宋体" w:cs="宋体"/>
          <w:color w:val="auto"/>
          <w:sz w:val="24"/>
          <w:szCs w:val="24"/>
          <w:highlight w:val="none"/>
        </w:rPr>
      </w:pPr>
      <w:r>
        <w:rPr>
          <w:rStyle w:val="924"/>
          <w:rFonts w:hint="eastAsia" w:ascii="宋体" w:hAnsi="宋体" w:cs="宋体"/>
          <w:b/>
          <w:bCs/>
          <w:color w:val="auto"/>
          <w:sz w:val="24"/>
          <w:szCs w:val="24"/>
          <w:highlight w:val="none"/>
          <w:lang w:val="en-US"/>
        </w:rPr>
        <w:t xml:space="preserve">13、</w:t>
      </w:r>
      <w:r>
        <w:rPr>
          <w:rStyle w:val="924"/>
          <w:rFonts w:hint="eastAsia" w:ascii="宋体" w:hAnsi="宋体" w:cs="宋体"/>
          <w:b/>
          <w:bCs/>
          <w:color w:val="auto"/>
          <w:sz w:val="24"/>
          <w:szCs w:val="24"/>
          <w:highlight w:val="none"/>
        </w:rPr>
        <w:t xml:space="preserve">完工验收及履约评价</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lang w:val="en-US"/>
        </w:rPr>
        <w:t xml:space="preserve">13</w:t>
      </w:r>
      <w:r>
        <w:rPr>
          <w:rStyle w:val="924"/>
          <w:rFonts w:hint="eastAsia" w:ascii="宋体" w:hAnsi="宋体" w:cs="宋体"/>
          <w:color w:val="auto"/>
          <w:sz w:val="24"/>
          <w:szCs w:val="24"/>
          <w:highlight w:val="none"/>
        </w:rPr>
        <w:t xml:space="preserve">.1第一阶段：完工验收要求</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lang w:val="en-US"/>
        </w:rPr>
        <w:t xml:space="preserve">13</w:t>
      </w:r>
      <w:r>
        <w:rPr>
          <w:rStyle w:val="924"/>
          <w:rFonts w:hint="eastAsia" w:ascii="宋体" w:hAnsi="宋体" w:cs="宋体"/>
          <w:color w:val="auto"/>
          <w:sz w:val="24"/>
          <w:szCs w:val="24"/>
          <w:highlight w:val="none"/>
        </w:rPr>
        <w:t xml:space="preserve">.1.1验收时间：签订合同后180日内将设备送至</w:t>
      </w:r>
      <w:r>
        <w:rPr>
          <w:rStyle w:val="924"/>
          <w:rFonts w:hint="eastAsia" w:ascii="宋体" w:hAnsi="宋体" w:cs="宋体"/>
          <w:color w:val="auto"/>
          <w:sz w:val="24"/>
          <w:szCs w:val="24"/>
          <w:highlight w:val="none"/>
          <w:lang w:val="en-US"/>
        </w:rPr>
        <w:t xml:space="preserve">甲方</w:t>
      </w:r>
      <w:r>
        <w:rPr>
          <w:rStyle w:val="924"/>
          <w:rFonts w:hint="eastAsia" w:ascii="宋体" w:hAnsi="宋体" w:cs="宋体"/>
          <w:color w:val="auto"/>
          <w:sz w:val="24"/>
          <w:szCs w:val="24"/>
          <w:highlight w:val="none"/>
        </w:rPr>
        <w:t xml:space="preserve">指定地点并安装调试完毕</w:t>
      </w:r>
      <w:r>
        <w:rPr>
          <w:rStyle w:val="924"/>
          <w:rFonts w:hint="eastAsia" w:ascii="宋体" w:hAnsi="宋体" w:cs="宋体"/>
          <w:color w:val="auto"/>
          <w:sz w:val="24"/>
          <w:szCs w:val="24"/>
          <w:highlight w:val="none"/>
          <w:lang w:val="en-US"/>
        </w:rPr>
        <w:t xml:space="preserve">乙方</w:t>
      </w:r>
      <w:r>
        <w:rPr>
          <w:rStyle w:val="924"/>
          <w:rFonts w:hint="eastAsia" w:ascii="宋体" w:hAnsi="宋体" w:cs="宋体"/>
          <w:color w:val="auto"/>
          <w:sz w:val="24"/>
          <w:szCs w:val="24"/>
          <w:highlight w:val="none"/>
        </w:rPr>
        <w:t xml:space="preserve">向</w:t>
      </w:r>
      <w:r>
        <w:rPr>
          <w:rStyle w:val="924"/>
          <w:rFonts w:hint="eastAsia" w:ascii="宋体" w:hAnsi="宋体" w:cs="宋体"/>
          <w:color w:val="auto"/>
          <w:sz w:val="24"/>
          <w:szCs w:val="24"/>
          <w:highlight w:val="none"/>
          <w:lang w:val="en-US"/>
        </w:rPr>
        <w:t xml:space="preserve">甲方</w:t>
      </w:r>
      <w:r>
        <w:rPr>
          <w:rStyle w:val="924"/>
          <w:rFonts w:hint="eastAsia" w:ascii="宋体" w:hAnsi="宋体" w:cs="宋体"/>
          <w:color w:val="auto"/>
          <w:sz w:val="24"/>
          <w:szCs w:val="24"/>
          <w:highlight w:val="none"/>
        </w:rPr>
        <w:t xml:space="preserve">提交完工验收技术资料以及完工验收申请单，</w:t>
      </w:r>
      <w:r>
        <w:rPr>
          <w:rStyle w:val="924"/>
          <w:rFonts w:hint="eastAsia" w:ascii="宋体" w:hAnsi="宋体" w:cs="宋体"/>
          <w:color w:val="auto"/>
          <w:sz w:val="24"/>
          <w:szCs w:val="24"/>
          <w:highlight w:val="none"/>
          <w:lang w:val="en-US"/>
        </w:rPr>
        <w:t xml:space="preserve">甲方</w:t>
      </w:r>
      <w:r>
        <w:rPr>
          <w:rStyle w:val="924"/>
          <w:rFonts w:hint="eastAsia" w:ascii="宋体" w:hAnsi="宋体" w:cs="宋体"/>
          <w:color w:val="auto"/>
          <w:sz w:val="24"/>
          <w:szCs w:val="24"/>
          <w:highlight w:val="none"/>
        </w:rPr>
        <w:t xml:space="preserve">依法组织完工验收工作。</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lang w:val="en-US"/>
        </w:rPr>
        <w:t xml:space="preserve">13</w:t>
      </w:r>
      <w:r>
        <w:rPr>
          <w:rStyle w:val="924"/>
          <w:rFonts w:hint="eastAsia" w:ascii="宋体" w:hAnsi="宋体" w:cs="宋体"/>
          <w:color w:val="auto"/>
          <w:sz w:val="24"/>
          <w:szCs w:val="24"/>
          <w:highlight w:val="none"/>
        </w:rPr>
        <w:t xml:space="preserve">.1.2验收内容：包括设备品牌、型号、规格、数量是否符合合同规定，外观质量、安装调试是否合格，所提供设备装箱清单、操作说明、维修手册、说明书、原厂维保卡等是否齐全。</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lang w:val="en-US"/>
        </w:rPr>
        <w:t xml:space="preserve">13</w:t>
      </w:r>
      <w:r>
        <w:rPr>
          <w:rStyle w:val="924"/>
          <w:rFonts w:hint="eastAsia" w:ascii="宋体" w:hAnsi="宋体" w:cs="宋体"/>
          <w:color w:val="auto"/>
          <w:sz w:val="24"/>
          <w:szCs w:val="24"/>
          <w:highlight w:val="none"/>
        </w:rPr>
        <w:t xml:space="preserve">.1.3</w:t>
      </w:r>
      <w:r>
        <w:rPr>
          <w:rStyle w:val="924"/>
          <w:rFonts w:hint="eastAsia" w:ascii="宋体" w:hAnsi="宋体" w:cs="宋体"/>
          <w:color w:val="auto"/>
          <w:sz w:val="24"/>
          <w:szCs w:val="24"/>
          <w:highlight w:val="none"/>
          <w:lang w:val="en-US"/>
        </w:rPr>
        <w:t xml:space="preserve">甲方</w:t>
      </w:r>
      <w:r>
        <w:rPr>
          <w:rStyle w:val="924"/>
          <w:rFonts w:hint="eastAsia" w:ascii="宋体" w:hAnsi="宋体" w:cs="宋体"/>
          <w:color w:val="auto"/>
          <w:sz w:val="24"/>
          <w:szCs w:val="24"/>
          <w:highlight w:val="none"/>
        </w:rPr>
        <w:t xml:space="preserve">成立完工验收小组，按照采购合同的约定对</w:t>
      </w:r>
      <w:r>
        <w:rPr>
          <w:rStyle w:val="924"/>
          <w:rFonts w:hint="eastAsia" w:ascii="宋体" w:hAnsi="宋体" w:cs="宋体"/>
          <w:color w:val="auto"/>
          <w:sz w:val="24"/>
          <w:szCs w:val="24"/>
          <w:highlight w:val="none"/>
          <w:lang w:val="en-US"/>
        </w:rPr>
        <w:t xml:space="preserve">乙方</w:t>
      </w:r>
      <w:r>
        <w:rPr>
          <w:rStyle w:val="924"/>
          <w:rFonts w:hint="eastAsia" w:ascii="宋体" w:hAnsi="宋体" w:cs="宋体"/>
          <w:color w:val="auto"/>
          <w:sz w:val="24"/>
          <w:szCs w:val="24"/>
          <w:highlight w:val="none"/>
        </w:rPr>
        <w:t xml:space="preserve">的完工情况进行验收。完工验收结束后，验收小组出具完工验收书，列明各项标准的验收情况，由验收双方共同签署。完工验收合格后（以完工验收书日期为准计算）正式进入租赁服务期。</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lang w:val="en-US"/>
        </w:rPr>
        <w:t xml:space="preserve">13</w:t>
      </w:r>
      <w:r>
        <w:rPr>
          <w:rStyle w:val="924"/>
          <w:rFonts w:hint="eastAsia" w:ascii="宋体" w:hAnsi="宋体" w:cs="宋体"/>
          <w:color w:val="auto"/>
          <w:sz w:val="24"/>
          <w:szCs w:val="24"/>
          <w:highlight w:val="none"/>
        </w:rPr>
        <w:t xml:space="preserve">.2第二阶段：履约评价</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lang w:val="en-US"/>
        </w:rPr>
        <w:t xml:space="preserve">13</w:t>
      </w:r>
      <w:r>
        <w:rPr>
          <w:rStyle w:val="924"/>
          <w:rFonts w:hint="eastAsia" w:ascii="宋体" w:hAnsi="宋体" w:cs="宋体"/>
          <w:color w:val="auto"/>
          <w:sz w:val="24"/>
          <w:szCs w:val="24"/>
          <w:highlight w:val="none"/>
        </w:rPr>
        <w:t xml:space="preserve">.2.1租赁服务期满后，</w:t>
      </w:r>
      <w:r>
        <w:rPr>
          <w:rStyle w:val="924"/>
          <w:rFonts w:hint="eastAsia" w:ascii="宋体" w:hAnsi="宋体" w:cs="宋体"/>
          <w:color w:val="auto"/>
          <w:sz w:val="24"/>
          <w:szCs w:val="24"/>
          <w:highlight w:val="none"/>
          <w:lang w:val="en-US"/>
        </w:rPr>
        <w:t xml:space="preserve">甲方</w:t>
      </w:r>
      <w:r>
        <w:rPr>
          <w:rStyle w:val="924"/>
          <w:rFonts w:hint="eastAsia" w:ascii="宋体" w:hAnsi="宋体" w:cs="宋体"/>
          <w:color w:val="auto"/>
          <w:sz w:val="24"/>
          <w:szCs w:val="24"/>
          <w:highlight w:val="none"/>
        </w:rPr>
        <w:t xml:space="preserve">或第三方机构根据项目整体服务情况并结合</w:t>
      </w:r>
      <w:r>
        <w:rPr>
          <w:rStyle w:val="924"/>
          <w:rFonts w:hint="eastAsia" w:ascii="宋体" w:hAnsi="宋体" w:cs="宋体"/>
          <w:color w:val="auto"/>
          <w:sz w:val="24"/>
          <w:szCs w:val="24"/>
          <w:highlight w:val="none"/>
          <w:lang w:val="en-US"/>
        </w:rPr>
        <w:t xml:space="preserve">乙方</w:t>
      </w:r>
      <w:r>
        <w:rPr>
          <w:rStyle w:val="924"/>
          <w:rFonts w:hint="eastAsia" w:ascii="宋体" w:hAnsi="宋体" w:cs="宋体"/>
          <w:color w:val="auto"/>
          <w:sz w:val="24"/>
          <w:szCs w:val="24"/>
          <w:highlight w:val="none"/>
        </w:rPr>
        <w:t xml:space="preserve">在整个项目服务期内的考核得分，出具项目履约评价单。</w:t>
      </w:r>
      <w:r/>
    </w:p>
    <w:p>
      <w:pPr>
        <w:ind w:firstLine="480"/>
        <w:spacing w:line="440" w:lineRule="exact"/>
        <w:rPr>
          <w:rStyle w:val="924"/>
          <w:rFonts w:ascii="宋体" w:hAnsi="宋体" w:cs="宋体"/>
          <w:color w:val="auto"/>
          <w:sz w:val="24"/>
          <w:szCs w:val="24"/>
          <w:highlight w:val="none"/>
        </w:rPr>
      </w:pPr>
      <w:r>
        <w:rPr>
          <w:rStyle w:val="924"/>
          <w:rFonts w:hint="eastAsia" w:ascii="宋体" w:hAnsi="宋体" w:cs="宋体"/>
          <w:color w:val="auto"/>
          <w:sz w:val="24"/>
          <w:szCs w:val="24"/>
          <w:highlight w:val="none"/>
          <w:lang w:val="en-US"/>
        </w:rPr>
        <w:t xml:space="preserve">13</w:t>
      </w:r>
      <w:r>
        <w:rPr>
          <w:rStyle w:val="924"/>
          <w:rFonts w:hint="eastAsia" w:ascii="宋体" w:hAnsi="宋体" w:cs="宋体"/>
          <w:color w:val="auto"/>
          <w:sz w:val="24"/>
          <w:szCs w:val="24"/>
          <w:highlight w:val="none"/>
        </w:rPr>
        <w:t xml:space="preserve">.3验收标准</w:t>
      </w:r>
      <w:r/>
    </w:p>
    <w:p>
      <w:pPr>
        <w:ind w:firstLine="480"/>
        <w:spacing w:line="440" w:lineRule="exact"/>
        <w:rPr>
          <w:rFonts w:ascii="方正仿宋_GBK" w:hAnsi="方正仿宋_GBK" w:eastAsia="方正仿宋_GBK" w:cs="方正仿宋_GBK"/>
          <w:b/>
          <w:bCs/>
          <w:color w:val="auto"/>
          <w:sz w:val="28"/>
          <w:szCs w:val="28"/>
          <w:highlight w:val="none"/>
        </w:rPr>
      </w:pPr>
      <w:r>
        <w:rPr>
          <w:rStyle w:val="924"/>
          <w:rFonts w:hint="eastAsia" w:ascii="宋体" w:hAnsi="宋体" w:cs="宋体"/>
          <w:color w:val="auto"/>
          <w:sz w:val="24"/>
          <w:szCs w:val="24"/>
          <w:highlight w:val="none"/>
        </w:rPr>
        <w:t xml:space="preserve">按照招标文件、投标文件及相关标准实施。有国家标准的应符合国家标准，无国家标准的应符合行业标准、地方标准或者其他标准、规范，并满足招标文件要求，同时服从</w:t>
      </w:r>
      <w:r>
        <w:rPr>
          <w:rStyle w:val="924"/>
          <w:rFonts w:hint="eastAsia" w:ascii="宋体" w:hAnsi="宋体" w:cs="宋体"/>
          <w:color w:val="auto"/>
          <w:sz w:val="24"/>
          <w:szCs w:val="24"/>
          <w:highlight w:val="none"/>
          <w:lang w:val="en-US"/>
        </w:rPr>
        <w:t xml:space="preserve">甲方</w:t>
      </w:r>
      <w:r>
        <w:rPr>
          <w:rStyle w:val="924"/>
          <w:rFonts w:hint="eastAsia" w:ascii="宋体" w:hAnsi="宋体" w:cs="宋体"/>
          <w:color w:val="auto"/>
          <w:sz w:val="24"/>
          <w:szCs w:val="24"/>
          <w:highlight w:val="none"/>
        </w:rPr>
        <w:t xml:space="preserve">安排要求。</w:t>
      </w:r>
      <w:r/>
    </w:p>
    <w:p>
      <w:pPr>
        <w:pStyle w:val="871"/>
        <w:ind w:firstLine="480"/>
        <w:spacing w:line="440" w:lineRule="exact"/>
        <w:rPr>
          <w:rFonts w:hint="eastAsia" w:hAnsi="宋体" w:cs="宋体"/>
          <w:b/>
          <w:bCs/>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 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p>
    <w:p>
      <w:pPr>
        <w:pStyle w:val="923"/>
        <w:ind w:firstLine="482"/>
        <w:spacing w:line="440" w:lineRule="exact"/>
        <w:rPr>
          <w:rFonts w:hAnsi="宋体" w:cs="宋体"/>
          <w:b/>
          <w:bCs/>
          <w:color w:val="auto"/>
          <w:sz w:val="24"/>
          <w:szCs w:val="24"/>
          <w:highlight w:val="none"/>
        </w:rPr>
      </w:pPr>
      <w:r>
        <w:rPr>
          <w:rFonts w:hint="eastAsia" w:hAnsi="宋体" w:cs="宋体"/>
          <w:b/>
          <w:bCs/>
          <w:color w:val="auto"/>
          <w:sz w:val="24"/>
          <w:szCs w:val="24"/>
          <w:highlight w:val="none"/>
        </w:rPr>
        <w:t xml:space="preserve">14、违约责任</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14.1乙方无正当理由逾期交付服务项目的，乙方应按未付服务项目款金额每日万分之一向乙方支付违约金。</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14.2甲方无故逾期验收和无故逾期办理款项支付手续的,甲方应按逾期付款金额每日万分之一向乙方支付违约金。</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14.3乙方违约，在消除违约情形前，应按本合同项目总额每日万分之一向甲方支付违约金，甲方可以从待付款项中扣除。</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14.4乙方因逾期交付服务项目或因其他违约行为，导致甲方解除合同的，乙方应向甲方支付合同总值5%的违约金，如造成甲方损失超过违约金的，超出部分由乙方继续承担赔偿责任。</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14.5乙方所交的服务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14.6合同生效后，发现乙方投标属虚假承诺，或经权威部门监测提供的服务不能满足招标文件要求，造成合同无法继续履行的，乙方履约保证金不予退还外，还应向甲方支付不少于合同总价</w:t>
      </w:r>
      <w:r>
        <w:rPr>
          <w:rFonts w:hint="eastAsia" w:hAnsi="宋体" w:cs="宋体"/>
          <w:color w:val="auto"/>
          <w:sz w:val="24"/>
          <w:szCs w:val="24"/>
          <w:highlight w:val="none"/>
          <w:u w:val="single"/>
        </w:rPr>
        <w:t xml:space="preserve">5</w:t>
      </w:r>
      <w:r>
        <w:rPr>
          <w:rFonts w:hint="eastAsia" w:hAnsi="宋体" w:cs="宋体"/>
          <w:color w:val="auto"/>
          <w:sz w:val="24"/>
          <w:szCs w:val="24"/>
          <w:highlight w:val="none"/>
        </w:rPr>
        <w:t xml:space="preserve">%赔偿金。</w:t>
      </w:r>
      <w:r/>
    </w:p>
    <w:p>
      <w:pPr>
        <w:pStyle w:val="923"/>
        <w:ind w:firstLine="482"/>
        <w:spacing w:line="440" w:lineRule="exact"/>
        <w:rPr>
          <w:rFonts w:hAnsi="宋体" w:cs="宋体"/>
          <w:b/>
          <w:bCs/>
          <w:color w:val="auto"/>
          <w:sz w:val="24"/>
          <w:szCs w:val="24"/>
          <w:highlight w:val="none"/>
        </w:rPr>
      </w:pPr>
      <w:r>
        <w:rPr>
          <w:rFonts w:hint="eastAsia" w:hAnsi="宋体" w:cs="宋体"/>
          <w:b/>
          <w:bCs/>
          <w:color w:val="auto"/>
          <w:sz w:val="24"/>
          <w:szCs w:val="24"/>
          <w:highlight w:val="none"/>
        </w:rPr>
        <w:t xml:space="preserve">15、不可抗力事件处理</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15.1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15.2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923"/>
        <w:ind w:firstLine="482"/>
        <w:spacing w:line="440" w:lineRule="exact"/>
        <w:rPr>
          <w:rFonts w:hAnsi="宋体" w:cs="宋体"/>
          <w:b/>
          <w:bCs/>
          <w:color w:val="auto"/>
          <w:sz w:val="24"/>
          <w:szCs w:val="24"/>
          <w:highlight w:val="none"/>
        </w:rPr>
      </w:pPr>
      <w:r>
        <w:rPr>
          <w:rFonts w:hint="eastAsia" w:hAnsi="宋体" w:cs="宋体"/>
          <w:b/>
          <w:bCs/>
          <w:color w:val="auto"/>
          <w:sz w:val="24"/>
          <w:szCs w:val="24"/>
          <w:highlight w:val="none"/>
        </w:rPr>
        <w:t xml:space="preserve">16、争议解决</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16.1因服务的品质质量问题发生争议的，可在国家认可的质量检测机构对服务内容质量进行鉴定。服务符合标准的，鉴定费由甲方承担；服务项目不符合质量标准的，鉴定费由乙方承担。</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16.2因履行本合同引起的或与本合同有关的争议，甲、乙双方应首先通过友好协商解决；如果协商不能解决争议，甲乙双方同意采取下列两种方式的第</w:t>
      </w:r>
      <w:r>
        <w:rPr>
          <w:rFonts w:hint="eastAsia" w:hAnsi="宋体" w:cs="宋体"/>
          <w:color w:val="auto"/>
          <w:sz w:val="24"/>
          <w:szCs w:val="24"/>
          <w:highlight w:val="none"/>
          <w:u w:val="single"/>
        </w:rPr>
        <w:t xml:space="preserve">（1）</w:t>
      </w:r>
      <w:r>
        <w:rPr>
          <w:rFonts w:hint="eastAsia" w:hAnsi="宋体" w:cs="宋体"/>
          <w:color w:val="auto"/>
          <w:sz w:val="24"/>
          <w:szCs w:val="24"/>
          <w:highlight w:val="none"/>
        </w:rPr>
        <w:t xml:space="preserve">种方式解决争议：</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（1）向甲方所在地有管辖权的人民法院提起诉讼，适用中华人民共和国法律；</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（2）向宿迁市仲裁委员会按其仲裁规则申请仲裁。</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17.3若甲乙双方任何一方都没有选择解除合同的，为避免扩大损失，在诉讼或仲裁期间，双方应继续履行。</w:t>
      </w:r>
      <w:r/>
    </w:p>
    <w:p>
      <w:pPr>
        <w:pStyle w:val="923"/>
        <w:ind w:firstLine="482"/>
        <w:spacing w:line="440" w:lineRule="exact"/>
        <w:rPr>
          <w:rFonts w:hAnsi="宋体" w:cs="宋体"/>
          <w:b/>
          <w:bCs/>
          <w:color w:val="auto"/>
          <w:sz w:val="24"/>
          <w:szCs w:val="24"/>
          <w:highlight w:val="none"/>
        </w:rPr>
      </w:pPr>
      <w:r>
        <w:rPr>
          <w:rFonts w:hint="eastAsia" w:hAnsi="宋体" w:cs="宋体"/>
          <w:b/>
          <w:bCs/>
          <w:color w:val="auto"/>
          <w:sz w:val="24"/>
          <w:szCs w:val="24"/>
          <w:highlight w:val="none"/>
        </w:rPr>
        <w:t xml:space="preserve">17、合同其它</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17.1乙方应诚实信用，严格按照招标文件要求和投标承诺履行合同，不向甲方进行商业贿赂或者提供不正当利益。</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17.2合同经双方法定代表人或授权代表签字并加盖单位公章后生效。</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17.3本合同未尽事宜，遵照《中华人民共和国民法典》有关条文执行。</w:t>
      </w:r>
      <w:r/>
    </w:p>
    <w:p>
      <w:pPr>
        <w:pStyle w:val="923"/>
        <w:ind w:firstLine="480"/>
        <w:spacing w:line="440" w:lineRule="exact"/>
        <w:rPr>
          <w:rFonts w:hAnsi="宋体" w:cs="宋体"/>
          <w:color w:val="auto"/>
          <w:sz w:val="24"/>
          <w:szCs w:val="24"/>
          <w:highlight w:val="none"/>
        </w:rPr>
      </w:pPr>
      <w:r>
        <w:rPr>
          <w:rFonts w:hint="eastAsia" w:hAnsi="宋体" w:cs="宋体"/>
          <w:color w:val="auto"/>
          <w:sz w:val="24"/>
          <w:szCs w:val="24"/>
          <w:highlight w:val="none"/>
        </w:rPr>
        <w:t xml:space="preserve">17.4本合同一式四份，具有同等法律效力，甲方、乙方各执二份</w:t>
      </w:r>
      <w:r>
        <w:rPr>
          <w:rStyle w:val="932"/>
          <w:rFonts w:hint="eastAsia" w:ascii="宋体" w:hAnsi="宋体" w:eastAsia="宋体" w:cs="宋体"/>
          <w:color w:val="auto"/>
          <w:sz w:val="24"/>
          <w:szCs w:val="24"/>
          <w:highlight w:val="none"/>
        </w:rPr>
        <w:t xml:space="preserve">。</w:t>
      </w:r>
      <w:r/>
    </w:p>
    <w:p>
      <w:pPr>
        <w:pStyle w:val="923"/>
        <w:ind w:firstLine="480"/>
        <w:spacing w:line="440" w:lineRule="exact"/>
        <w:rPr>
          <w:rFonts w:hAnsi="宋体" w:cs="宋体"/>
          <w:color w:val="auto"/>
          <w:sz w:val="24"/>
          <w:szCs w:val="24"/>
          <w:highlight w:val="none"/>
        </w:rPr>
      </w:pPr>
      <w:r>
        <w:rPr>
          <w:rFonts w:hAnsi="宋体" w:cs="宋体"/>
          <w:color w:val="auto"/>
          <w:sz w:val="24"/>
          <w:szCs w:val="24"/>
          <w:highlight w:val="none"/>
        </w:rPr>
      </w:r>
      <w:r/>
    </w:p>
    <w:tbl>
      <w:tblPr>
        <w:tblStyle w:val="661"/>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923"/>
              <w:spacing w:line="440" w:lineRule="exact"/>
              <w:rPr>
                <w:rFonts w:hAnsi="宋体" w:cs="宋体"/>
                <w:color w:val="auto"/>
                <w:sz w:val="24"/>
                <w:szCs w:val="24"/>
                <w:highlight w:val="none"/>
              </w:rPr>
            </w:pPr>
            <w:r>
              <w:rPr>
                <w:rFonts w:hint="eastAsia" w:hAnsi="宋体" w:cs="宋体"/>
                <w:color w:val="auto"/>
                <w:sz w:val="24"/>
                <w:szCs w:val="24"/>
                <w:highlight w:val="none"/>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923"/>
              <w:spacing w:line="440" w:lineRule="exact"/>
              <w:rPr>
                <w:rFonts w:hAnsi="宋体" w:cs="宋体"/>
                <w:color w:val="auto"/>
                <w:sz w:val="24"/>
                <w:szCs w:val="24"/>
                <w:highlight w:val="none"/>
              </w:rPr>
            </w:pPr>
            <w:r>
              <w:rPr>
                <w:rFonts w:hint="eastAsia" w:hAnsi="宋体" w:cs="宋体"/>
                <w:color w:val="auto"/>
                <w:sz w:val="24"/>
                <w:szCs w:val="24"/>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923"/>
              <w:spacing w:line="440" w:lineRule="exact"/>
              <w:rPr>
                <w:rFonts w:hAnsi="宋体" w:cs="宋体"/>
                <w:color w:val="auto"/>
                <w:sz w:val="24"/>
                <w:szCs w:val="24"/>
                <w:highlight w:val="none"/>
              </w:rPr>
            </w:pPr>
            <w:r>
              <w:rPr>
                <w:rFonts w:hint="eastAsia" w:hAnsi="宋体" w:cs="宋体"/>
                <w:color w:val="auto"/>
                <w:sz w:val="24"/>
                <w:szCs w:val="24"/>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923"/>
              <w:spacing w:line="440" w:lineRule="exact"/>
              <w:rPr>
                <w:rFonts w:hAnsi="宋体" w:cs="宋体"/>
                <w:color w:val="auto"/>
                <w:sz w:val="24"/>
                <w:szCs w:val="24"/>
                <w:highlight w:val="none"/>
              </w:rPr>
            </w:pPr>
            <w:r>
              <w:rPr>
                <w:rFonts w:hint="eastAsia" w:hAnsi="宋体" w:cs="宋体"/>
                <w:color w:val="auto"/>
                <w:sz w:val="24"/>
                <w:szCs w:val="24"/>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923"/>
              <w:spacing w:line="440" w:lineRule="exact"/>
              <w:rPr>
                <w:rFonts w:hAnsi="宋体" w:cs="宋体"/>
                <w:color w:val="auto"/>
                <w:sz w:val="24"/>
                <w:szCs w:val="24"/>
                <w:highlight w:val="none"/>
              </w:rPr>
            </w:pPr>
            <w:r>
              <w:rPr>
                <w:rFonts w:hint="eastAsia" w:hAnsi="宋体" w:cs="宋体"/>
                <w:color w:val="auto"/>
                <w:sz w:val="24"/>
                <w:szCs w:val="24"/>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923"/>
              <w:spacing w:line="440" w:lineRule="exact"/>
              <w:rPr>
                <w:rFonts w:hAnsi="宋体" w:cs="宋体"/>
                <w:color w:val="auto"/>
                <w:sz w:val="24"/>
                <w:szCs w:val="24"/>
                <w:highlight w:val="none"/>
              </w:rPr>
            </w:pPr>
            <w:r>
              <w:rPr>
                <w:rFonts w:hint="eastAsia" w:hAnsi="宋体" w:cs="宋体"/>
                <w:color w:val="auto"/>
                <w:sz w:val="24"/>
                <w:szCs w:val="24"/>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923"/>
              <w:spacing w:line="440" w:lineRule="exact"/>
              <w:rPr>
                <w:rFonts w:hAnsi="宋体" w:cs="宋体"/>
                <w:color w:val="auto"/>
                <w:sz w:val="24"/>
                <w:szCs w:val="24"/>
                <w:highlight w:val="none"/>
              </w:rPr>
            </w:pPr>
            <w:r>
              <w:rPr>
                <w:rFonts w:hint="eastAsia" w:hAnsi="宋体" w:cs="宋体"/>
                <w:color w:val="auto"/>
                <w:sz w:val="24"/>
                <w:szCs w:val="24"/>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923"/>
              <w:spacing w:line="440" w:lineRule="exact"/>
              <w:rPr>
                <w:rFonts w:hAnsi="宋体" w:cs="宋体"/>
                <w:color w:val="auto"/>
                <w:sz w:val="24"/>
                <w:szCs w:val="24"/>
                <w:highlight w:val="none"/>
              </w:rPr>
            </w:pPr>
            <w:r>
              <w:rPr>
                <w:rFonts w:hint="eastAsia" w:hAnsi="宋体" w:cs="宋体"/>
                <w:color w:val="auto"/>
                <w:sz w:val="24"/>
                <w:szCs w:val="24"/>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923"/>
              <w:spacing w:line="440" w:lineRule="exact"/>
              <w:rPr>
                <w:rFonts w:hAnsi="宋体" w:cs="宋体"/>
                <w:color w:val="auto"/>
                <w:sz w:val="24"/>
                <w:szCs w:val="24"/>
                <w:highlight w:val="none"/>
              </w:rPr>
            </w:pPr>
            <w:r>
              <w:rPr>
                <w:rFonts w:hint="eastAsia" w:hAnsi="宋体" w:cs="宋体"/>
                <w:color w:val="auto"/>
                <w:sz w:val="24"/>
                <w:szCs w:val="24"/>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923"/>
              <w:spacing w:line="440" w:lineRule="exact"/>
              <w:rPr>
                <w:rFonts w:hAnsi="宋体" w:cs="宋体"/>
                <w:color w:val="auto"/>
                <w:sz w:val="24"/>
                <w:szCs w:val="24"/>
                <w:highlight w:val="none"/>
              </w:rPr>
            </w:pPr>
            <w:r>
              <w:rPr>
                <w:rFonts w:hint="eastAsia" w:hAnsi="宋体" w:cs="宋体"/>
                <w:color w:val="auto"/>
                <w:sz w:val="24"/>
                <w:szCs w:val="24"/>
                <w:highlight w:val="none"/>
              </w:rPr>
              <w:t xml:space="preserve">日期：     年    月    日</w:t>
            </w:r>
            <w:r/>
          </w:p>
        </w:tc>
      </w:tr>
    </w:tbl>
    <w:p>
      <w:pPr>
        <w:pStyle w:val="925"/>
        <w:ind w:firstLine="482"/>
        <w:spacing w:line="360" w:lineRule="auto"/>
        <w:rPr>
          <w:b/>
          <w:bCs/>
          <w:color w:val="auto"/>
          <w:sz w:val="24"/>
          <w:szCs w:val="21"/>
          <w:highlight w:val="none"/>
        </w:rPr>
      </w:pPr>
      <w:r>
        <w:rPr>
          <w:rFonts w:hint="eastAsia" w:ascii="宋体" w:hAnsi="宋体" w:cs="宋体"/>
          <w:bCs/>
          <w:color w:val="auto"/>
          <w:sz w:val="24"/>
          <w:szCs w:val="24"/>
          <w:highlight w:val="none"/>
        </w:rPr>
        <w:br w:type="page" w:clear="all"/>
      </w:r>
      <w:r>
        <w:rPr>
          <w:rFonts w:hint="eastAsia"/>
          <w:b/>
          <w:bCs/>
          <w:color w:val="auto"/>
          <w:sz w:val="24"/>
          <w:szCs w:val="21"/>
          <w:highlight w:val="none"/>
        </w:rPr>
        <w:t xml:space="preserve">考核细则</w:t>
      </w:r>
      <w:r/>
    </w:p>
    <w:p>
      <w:pPr>
        <w:pStyle w:val="925"/>
        <w:ind w:firstLine="480"/>
        <w:spacing w:line="360" w:lineRule="auto"/>
        <w:rPr>
          <w:color w:val="auto"/>
          <w:sz w:val="24"/>
          <w:szCs w:val="21"/>
          <w:highlight w:val="none"/>
        </w:rPr>
      </w:pPr>
      <w:r>
        <w:rPr>
          <w:rFonts w:hint="eastAsia"/>
          <w:color w:val="auto"/>
          <w:sz w:val="24"/>
          <w:szCs w:val="21"/>
          <w:highlight w:val="none"/>
        </w:rPr>
        <w:t xml:space="preserve">依据政府采购合同文件要求，明确服务中标机构的权利和义务，保障本项目工作。对服务中标机构进行定期考核，细则如下。</w:t>
      </w:r>
      <w:r/>
    </w:p>
    <w:p>
      <w:pPr>
        <w:pStyle w:val="930"/>
        <w:jc w:val="center"/>
        <w:spacing w:line="360" w:lineRule="auto"/>
        <w:rPr>
          <w:color w:val="auto"/>
          <w:sz w:val="24"/>
          <w:highlight w:val="none"/>
        </w:rPr>
      </w:pPr>
      <w:r>
        <w:rPr>
          <w:rFonts w:hint="eastAsia" w:ascii="宋体" w:hAnsi="宋体" w:cs="仿宋"/>
          <w:b/>
          <w:color w:val="auto"/>
          <w:sz w:val="24"/>
          <w:szCs w:val="24"/>
          <w:highlight w:val="none"/>
        </w:rPr>
        <w:t xml:space="preserve">考核办法（满分：100分）</w:t>
      </w:r>
      <w:r/>
    </w:p>
    <w:tbl>
      <w:tblPr>
        <w:tblStyle w:val="661"/>
        <w:tblW w:w="99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644"/>
        <w:gridCol w:w="3792"/>
        <w:gridCol w:w="3755"/>
      </w:tblGrid>
      <w:tr>
        <w:trPr>
          <w:jc w:val="center"/>
        </w:trPr>
        <w:tc>
          <w:tcPr>
            <w:tcW w:w="717" w:type="dxa"/>
            <w:textDirection w:val="lrTb"/>
            <w:noWrap/>
          </w:tcPr>
          <w:p>
            <w:pPr>
              <w:pStyle w:val="930"/>
              <w:jc w:val="center"/>
              <w:spacing w:line="360" w:lineRule="auto"/>
              <w:rPr>
                <w:rStyle w:val="855"/>
                <w:rFonts w:ascii="宋体" w:hAnsi="宋体" w:cs="仿宋"/>
                <w:bCs/>
                <w:color w:val="auto"/>
                <w:szCs w:val="21"/>
                <w:highlight w:val="none"/>
              </w:rPr>
            </w:pPr>
            <w:r>
              <w:rPr>
                <w:rStyle w:val="855"/>
                <w:rFonts w:hint="eastAsia" w:ascii="宋体" w:hAnsi="宋体" w:cs="仿宋"/>
                <w:bCs/>
                <w:color w:val="auto"/>
                <w:szCs w:val="21"/>
                <w:highlight w:val="none"/>
              </w:rPr>
              <w:t xml:space="preserve">序号</w:t>
            </w:r>
            <w:r/>
          </w:p>
        </w:tc>
        <w:tc>
          <w:tcPr>
            <w:tcW w:w="1644" w:type="dxa"/>
            <w:textDirection w:val="lrTb"/>
            <w:noWrap/>
          </w:tcPr>
          <w:p>
            <w:pPr>
              <w:pStyle w:val="930"/>
              <w:jc w:val="center"/>
              <w:spacing w:line="360" w:lineRule="auto"/>
              <w:rPr>
                <w:rStyle w:val="855"/>
                <w:rFonts w:ascii="宋体" w:hAnsi="宋体" w:cs="仿宋"/>
                <w:bCs/>
                <w:color w:val="auto"/>
                <w:szCs w:val="21"/>
                <w:highlight w:val="none"/>
              </w:rPr>
            </w:pPr>
            <w:r>
              <w:rPr>
                <w:rStyle w:val="855"/>
                <w:rFonts w:hint="eastAsia" w:ascii="宋体" w:hAnsi="宋体" w:cs="仿宋"/>
                <w:bCs/>
                <w:color w:val="auto"/>
                <w:szCs w:val="21"/>
                <w:highlight w:val="none"/>
              </w:rPr>
              <w:t xml:space="preserve">考核项目</w:t>
            </w:r>
            <w:r/>
          </w:p>
        </w:tc>
        <w:tc>
          <w:tcPr>
            <w:tcW w:w="3792" w:type="dxa"/>
            <w:textDirection w:val="lrTb"/>
            <w:noWrap/>
          </w:tcPr>
          <w:p>
            <w:pPr>
              <w:pStyle w:val="930"/>
              <w:jc w:val="center"/>
              <w:spacing w:line="360" w:lineRule="auto"/>
              <w:rPr>
                <w:rStyle w:val="855"/>
                <w:rFonts w:ascii="宋体" w:hAnsi="宋体" w:cs="仿宋"/>
                <w:bCs/>
                <w:color w:val="auto"/>
                <w:szCs w:val="21"/>
                <w:highlight w:val="none"/>
              </w:rPr>
            </w:pPr>
            <w:r>
              <w:rPr>
                <w:rStyle w:val="855"/>
                <w:rFonts w:hint="eastAsia" w:ascii="宋体" w:hAnsi="宋体" w:cs="仿宋"/>
                <w:bCs/>
                <w:color w:val="auto"/>
                <w:szCs w:val="21"/>
                <w:highlight w:val="none"/>
              </w:rPr>
              <w:t xml:space="preserve">考核内容</w:t>
            </w:r>
            <w:r/>
          </w:p>
        </w:tc>
        <w:tc>
          <w:tcPr>
            <w:tcW w:w="3755" w:type="dxa"/>
            <w:textDirection w:val="lrTb"/>
            <w:noWrap/>
          </w:tcPr>
          <w:p>
            <w:pPr>
              <w:pStyle w:val="930"/>
              <w:jc w:val="center"/>
              <w:spacing w:line="360" w:lineRule="auto"/>
              <w:rPr>
                <w:rStyle w:val="855"/>
                <w:rFonts w:ascii="宋体" w:hAnsi="宋体" w:cs="仿宋"/>
                <w:bCs/>
                <w:color w:val="auto"/>
                <w:szCs w:val="21"/>
                <w:highlight w:val="none"/>
              </w:rPr>
            </w:pPr>
            <w:r>
              <w:rPr>
                <w:rStyle w:val="855"/>
                <w:rFonts w:hint="eastAsia" w:ascii="宋体" w:hAnsi="宋体" w:cs="仿宋"/>
                <w:bCs/>
                <w:color w:val="auto"/>
                <w:szCs w:val="21"/>
                <w:highlight w:val="none"/>
              </w:rPr>
              <w:t xml:space="preserve">考核标准</w:t>
            </w:r>
            <w:r/>
          </w:p>
        </w:tc>
      </w:tr>
      <w:tr>
        <w:trPr>
          <w:jc w:val="center"/>
        </w:trPr>
        <w:tc>
          <w:tcPr>
            <w:tcW w:w="717" w:type="dxa"/>
            <w:vAlign w:val="center"/>
            <w:textDirection w:val="lrTb"/>
            <w:noWrap/>
          </w:tcPr>
          <w:p>
            <w:pPr>
              <w:pStyle w:val="930"/>
              <w:jc w:val="center"/>
              <w:spacing w:line="360" w:lineRule="auto"/>
              <w:rPr>
                <w:rStyle w:val="855"/>
                <w:rFonts w:hint="eastAsia" w:ascii="宋体" w:hAnsi="宋体" w:cs="仿宋"/>
                <w:bCs/>
                <w:color w:val="auto"/>
                <w:szCs w:val="21"/>
                <w:highlight w:val="none"/>
              </w:rPr>
            </w:pPr>
            <w:r>
              <w:rPr>
                <w:rStyle w:val="855"/>
                <w:rFonts w:hint="eastAsia" w:ascii="宋体" w:hAnsi="宋体" w:cs="仿宋"/>
                <w:bCs/>
                <w:color w:val="auto"/>
                <w:szCs w:val="21"/>
                <w:highlight w:val="none"/>
              </w:rPr>
              <w:t xml:space="preserve">1</w:t>
            </w:r>
            <w:r/>
          </w:p>
        </w:tc>
        <w:tc>
          <w:tcPr>
            <w:tcW w:w="1644" w:type="dxa"/>
            <w:vAlign w:val="center"/>
            <w:textDirection w:val="lrTb"/>
            <w:noWrap/>
          </w:tcPr>
          <w:p>
            <w:pPr>
              <w:pStyle w:val="930"/>
              <w:jc w:val="center"/>
              <w:spacing w:line="360" w:lineRule="auto"/>
              <w:rPr>
                <w:rStyle w:val="855"/>
                <w:rFonts w:hint="eastAsia" w:ascii="宋体" w:hAnsi="宋体" w:cs="仿宋"/>
                <w:bCs/>
                <w:color w:val="auto"/>
                <w:szCs w:val="21"/>
                <w:highlight w:val="none"/>
              </w:rPr>
            </w:pPr>
            <w:r>
              <w:rPr>
                <w:rStyle w:val="855"/>
                <w:rFonts w:hint="eastAsia" w:ascii="宋体" w:hAnsi="宋体" w:cs="仿宋"/>
                <w:bCs/>
                <w:color w:val="auto"/>
                <w:szCs w:val="21"/>
                <w:highlight w:val="none"/>
              </w:rPr>
              <w:t xml:space="preserve">设备在线率</w:t>
            </w:r>
            <w:r/>
          </w:p>
        </w:tc>
        <w:tc>
          <w:tcPr>
            <w:tcW w:w="3792" w:type="dxa"/>
            <w:vAlign w:val="center"/>
            <w:textDirection w:val="lrTb"/>
            <w:noWrap/>
          </w:tcPr>
          <w:p>
            <w:pPr>
              <w:pStyle w:val="930"/>
              <w:jc w:val="left"/>
              <w:spacing w:line="360" w:lineRule="auto"/>
              <w:rPr>
                <w:rStyle w:val="855"/>
                <w:rFonts w:hint="eastAsia" w:ascii="宋体" w:hAnsi="宋体" w:cs="仿宋"/>
                <w:bCs/>
                <w:color w:val="auto"/>
                <w:szCs w:val="21"/>
                <w:highlight w:val="none"/>
              </w:rPr>
            </w:pPr>
            <w:r>
              <w:rPr>
                <w:rStyle w:val="855"/>
                <w:rFonts w:hint="eastAsia" w:ascii="宋体" w:hAnsi="宋体" w:cs="仿宋"/>
                <w:bCs/>
                <w:color w:val="auto"/>
                <w:szCs w:val="21"/>
                <w:highlight w:val="none"/>
              </w:rPr>
              <w:t xml:space="preserve">自建前端在线率≥99%</w:t>
            </w:r>
            <w:r/>
          </w:p>
          <w:p>
            <w:pPr>
              <w:pStyle w:val="930"/>
              <w:jc w:val="left"/>
              <w:spacing w:line="360" w:lineRule="auto"/>
              <w:rPr>
                <w:rStyle w:val="855"/>
                <w:rFonts w:hint="eastAsia" w:ascii="宋体" w:hAnsi="宋体" w:cs="仿宋"/>
                <w:bCs/>
                <w:color w:val="auto"/>
                <w:szCs w:val="21"/>
                <w:highlight w:val="none"/>
              </w:rPr>
            </w:pPr>
            <w:r>
              <w:rPr>
                <w:rStyle w:val="855"/>
                <w:rFonts w:hint="eastAsia" w:ascii="宋体" w:hAnsi="宋体" w:cs="仿宋"/>
                <w:bCs/>
                <w:color w:val="auto"/>
                <w:szCs w:val="21"/>
                <w:highlight w:val="none"/>
              </w:rPr>
              <w:t xml:space="preserve">网关设备在线率≥95%。</w:t>
            </w:r>
            <w:r/>
          </w:p>
          <w:p>
            <w:pPr>
              <w:pStyle w:val="930"/>
              <w:jc w:val="left"/>
              <w:spacing w:line="360" w:lineRule="auto"/>
              <w:rPr>
                <w:rStyle w:val="855"/>
                <w:rFonts w:hint="eastAsia" w:ascii="宋体" w:hAnsi="宋体" w:cs="仿宋"/>
                <w:bCs/>
                <w:color w:val="auto"/>
                <w:szCs w:val="21"/>
                <w:highlight w:val="none"/>
              </w:rPr>
            </w:pPr>
            <w:r>
              <w:rPr>
                <w:rStyle w:val="855"/>
                <w:rFonts w:hint="eastAsia" w:ascii="宋体" w:hAnsi="宋体" w:cs="仿宋"/>
                <w:bCs/>
                <w:color w:val="auto"/>
                <w:szCs w:val="21"/>
                <w:highlight w:val="none"/>
              </w:rPr>
              <w:t xml:space="preserve">以每天系统在线状态截图为准（含日期、设备名称和编号）。</w:t>
            </w:r>
            <w:r/>
          </w:p>
        </w:tc>
        <w:tc>
          <w:tcPr>
            <w:tcW w:w="3755" w:type="dxa"/>
            <w:vAlign w:val="center"/>
            <w:textDirection w:val="lrTb"/>
            <w:noWrap/>
          </w:tcPr>
          <w:p>
            <w:pPr>
              <w:pStyle w:val="930"/>
              <w:jc w:val="left"/>
              <w:spacing w:line="360" w:lineRule="auto"/>
              <w:rPr>
                <w:rStyle w:val="855"/>
                <w:rFonts w:hint="eastAsia" w:ascii="宋体" w:hAnsi="宋体" w:cs="仿宋"/>
                <w:bCs/>
                <w:color w:val="auto"/>
                <w:szCs w:val="21"/>
                <w:highlight w:val="none"/>
              </w:rPr>
            </w:pPr>
            <w:r>
              <w:rPr>
                <w:rStyle w:val="855"/>
                <w:rFonts w:hint="eastAsia" w:ascii="宋体" w:hAnsi="宋体" w:cs="仿宋"/>
                <w:bCs/>
                <w:color w:val="auto"/>
                <w:szCs w:val="21"/>
                <w:highlight w:val="none"/>
              </w:rPr>
              <w:t xml:space="preserve">发生不响应考核内容指标的情形，每次（每天计为1次）扣2分。</w:t>
            </w:r>
            <w:r/>
          </w:p>
          <w:p>
            <w:pPr>
              <w:pStyle w:val="930"/>
              <w:jc w:val="left"/>
              <w:spacing w:line="360" w:lineRule="auto"/>
              <w:rPr>
                <w:rStyle w:val="855"/>
                <w:rFonts w:hint="eastAsia" w:ascii="宋体" w:hAnsi="宋体" w:cs="仿宋"/>
                <w:bCs/>
                <w:color w:val="auto"/>
                <w:szCs w:val="21"/>
                <w:highlight w:val="none"/>
              </w:rPr>
            </w:pPr>
            <w:r>
              <w:rPr>
                <w:rStyle w:val="855"/>
                <w:rFonts w:hint="eastAsia" w:ascii="宋体" w:hAnsi="宋体" w:cs="仿宋"/>
                <w:bCs/>
                <w:color w:val="auto"/>
                <w:szCs w:val="21"/>
                <w:highlight w:val="none"/>
              </w:rPr>
              <w:t xml:space="preserve">要求：当月在线率汇总表报由招标方签字确认。</w:t>
            </w:r>
            <w:r/>
          </w:p>
        </w:tc>
      </w:tr>
      <w:tr>
        <w:trPr>
          <w:jc w:val="center"/>
        </w:trPr>
        <w:tc>
          <w:tcPr>
            <w:tcW w:w="717" w:type="dxa"/>
            <w:vAlign w:val="center"/>
            <w:textDirection w:val="lrTb"/>
            <w:noWrap/>
          </w:tcPr>
          <w:p>
            <w:pPr>
              <w:pStyle w:val="930"/>
              <w:jc w:val="center"/>
              <w:spacing w:line="360" w:lineRule="auto"/>
              <w:rPr>
                <w:rStyle w:val="855"/>
                <w:rFonts w:hint="eastAsia" w:ascii="宋体" w:hAnsi="宋体" w:cs="仿宋"/>
                <w:bCs/>
                <w:color w:val="auto"/>
                <w:szCs w:val="21"/>
                <w:highlight w:val="none"/>
              </w:rPr>
            </w:pPr>
            <w:r>
              <w:rPr>
                <w:rStyle w:val="855"/>
                <w:rFonts w:hint="eastAsia" w:ascii="宋体" w:hAnsi="宋体" w:cs="仿宋"/>
                <w:bCs/>
                <w:color w:val="auto"/>
                <w:szCs w:val="21"/>
                <w:highlight w:val="none"/>
              </w:rPr>
              <w:t xml:space="preserve">2</w:t>
            </w:r>
            <w:r/>
          </w:p>
        </w:tc>
        <w:tc>
          <w:tcPr>
            <w:tcW w:w="1644" w:type="dxa"/>
            <w:vAlign w:val="center"/>
            <w:textDirection w:val="lrTb"/>
            <w:noWrap/>
          </w:tcPr>
          <w:p>
            <w:pPr>
              <w:pStyle w:val="930"/>
              <w:jc w:val="center"/>
              <w:spacing w:line="360" w:lineRule="auto"/>
              <w:rPr>
                <w:rStyle w:val="855"/>
                <w:rFonts w:hint="eastAsia" w:ascii="宋体" w:hAnsi="宋体" w:cs="仿宋"/>
                <w:bCs/>
                <w:color w:val="auto"/>
                <w:szCs w:val="21"/>
                <w:highlight w:val="none"/>
              </w:rPr>
            </w:pPr>
            <w:r>
              <w:rPr>
                <w:rStyle w:val="855"/>
                <w:rFonts w:hint="eastAsia" w:ascii="宋体" w:hAnsi="宋体" w:cs="仿宋"/>
                <w:bCs/>
                <w:color w:val="auto"/>
                <w:szCs w:val="21"/>
                <w:highlight w:val="none"/>
              </w:rPr>
              <w:t xml:space="preserve">离线修复响应</w:t>
            </w:r>
            <w:r/>
          </w:p>
        </w:tc>
        <w:tc>
          <w:tcPr>
            <w:tcW w:w="3792" w:type="dxa"/>
            <w:vAlign w:val="center"/>
            <w:textDirection w:val="lrTb"/>
            <w:noWrap/>
          </w:tcPr>
          <w:p>
            <w:pPr>
              <w:pStyle w:val="930"/>
              <w:jc w:val="left"/>
              <w:spacing w:line="360" w:lineRule="auto"/>
              <w:rPr>
                <w:rStyle w:val="855"/>
                <w:rFonts w:hint="eastAsia" w:ascii="宋体" w:hAnsi="宋体" w:cs="仿宋"/>
                <w:bCs/>
                <w:color w:val="auto"/>
                <w:szCs w:val="21"/>
                <w:highlight w:val="none"/>
              </w:rPr>
            </w:pPr>
            <w:r>
              <w:rPr>
                <w:rStyle w:val="855"/>
                <w:rFonts w:hint="eastAsia" w:ascii="宋体" w:hAnsi="宋体" w:cs="仿宋"/>
                <w:bCs/>
                <w:color w:val="auto"/>
                <w:szCs w:val="21"/>
                <w:highlight w:val="none"/>
              </w:rPr>
              <w:t xml:space="preserve">自建前端和网关设备，从离线至恢复上线，修复时间≤24小时。</w:t>
            </w:r>
            <w:r/>
          </w:p>
          <w:p>
            <w:pPr>
              <w:pStyle w:val="930"/>
              <w:jc w:val="left"/>
              <w:spacing w:line="360" w:lineRule="auto"/>
              <w:rPr>
                <w:rStyle w:val="855"/>
                <w:rFonts w:hint="eastAsia" w:ascii="宋体" w:hAnsi="宋体" w:cs="仿宋"/>
                <w:bCs/>
                <w:color w:val="auto"/>
                <w:szCs w:val="21"/>
                <w:highlight w:val="none"/>
              </w:rPr>
            </w:pPr>
            <w:r>
              <w:rPr>
                <w:rStyle w:val="855"/>
                <w:rFonts w:hint="eastAsia" w:ascii="宋体" w:hAnsi="宋体" w:cs="仿宋"/>
                <w:bCs/>
                <w:color w:val="auto"/>
                <w:szCs w:val="21"/>
                <w:highlight w:val="none"/>
              </w:rPr>
              <w:t xml:space="preserve">以每天系统统计时间截图为准（含日期、设备名称和编号）。</w:t>
            </w:r>
            <w:r/>
          </w:p>
        </w:tc>
        <w:tc>
          <w:tcPr>
            <w:tcW w:w="3755" w:type="dxa"/>
            <w:vAlign w:val="center"/>
            <w:textDirection w:val="lrTb"/>
            <w:noWrap/>
          </w:tcPr>
          <w:p>
            <w:pPr>
              <w:pStyle w:val="930"/>
              <w:jc w:val="left"/>
              <w:spacing w:line="360" w:lineRule="auto"/>
              <w:rPr>
                <w:rStyle w:val="855"/>
                <w:rFonts w:hint="eastAsia" w:ascii="宋体" w:hAnsi="宋体" w:cs="仿宋"/>
                <w:bCs/>
                <w:color w:val="auto"/>
                <w:szCs w:val="21"/>
                <w:highlight w:val="none"/>
              </w:rPr>
            </w:pPr>
            <w:r>
              <w:rPr>
                <w:rStyle w:val="855"/>
                <w:rFonts w:hint="eastAsia" w:ascii="宋体" w:hAnsi="宋体" w:cs="仿宋"/>
                <w:bCs/>
                <w:color w:val="auto"/>
                <w:szCs w:val="21"/>
                <w:highlight w:val="none"/>
              </w:rPr>
              <w:t xml:space="preserve">发生不响应考核内容指标的情形，每个设备每次扣1分。当月考核分扣完为止。</w:t>
            </w:r>
            <w:r/>
          </w:p>
          <w:p>
            <w:pPr>
              <w:pStyle w:val="930"/>
              <w:jc w:val="left"/>
              <w:spacing w:line="360" w:lineRule="auto"/>
              <w:rPr>
                <w:rStyle w:val="855"/>
                <w:rFonts w:hint="eastAsia" w:ascii="宋体" w:hAnsi="宋体" w:cs="仿宋"/>
                <w:bCs/>
                <w:color w:val="auto"/>
                <w:szCs w:val="21"/>
                <w:highlight w:val="none"/>
              </w:rPr>
            </w:pPr>
            <w:r>
              <w:rPr>
                <w:rStyle w:val="855"/>
                <w:rFonts w:hint="eastAsia" w:ascii="宋体" w:hAnsi="宋体" w:cs="仿宋"/>
                <w:bCs/>
                <w:color w:val="auto"/>
                <w:szCs w:val="21"/>
                <w:highlight w:val="none"/>
              </w:rPr>
              <w:t xml:space="preserve">要求：提供维修过程记录单，由招标方签字确认。</w:t>
            </w:r>
            <w:r/>
          </w:p>
        </w:tc>
      </w:tr>
      <w:tr>
        <w:trPr>
          <w:jc w:val="center"/>
        </w:trPr>
        <w:tc>
          <w:tcPr>
            <w:tcW w:w="717" w:type="dxa"/>
            <w:vAlign w:val="center"/>
            <w:textDirection w:val="lrTb"/>
            <w:noWrap/>
          </w:tcPr>
          <w:p>
            <w:pPr>
              <w:pStyle w:val="930"/>
              <w:jc w:val="center"/>
              <w:spacing w:line="360" w:lineRule="auto"/>
              <w:rPr>
                <w:rStyle w:val="855"/>
                <w:rFonts w:hint="eastAsia" w:ascii="宋体" w:hAnsi="宋体" w:cs="仿宋"/>
                <w:bCs/>
                <w:color w:val="auto"/>
                <w:szCs w:val="21"/>
                <w:highlight w:val="none"/>
              </w:rPr>
            </w:pPr>
            <w:r>
              <w:rPr>
                <w:rStyle w:val="855"/>
                <w:rFonts w:hint="eastAsia" w:ascii="宋体" w:hAnsi="宋体" w:cs="仿宋"/>
                <w:bCs/>
                <w:color w:val="auto"/>
                <w:szCs w:val="21"/>
                <w:highlight w:val="none"/>
              </w:rPr>
              <w:t xml:space="preserve">3</w:t>
            </w:r>
            <w:r/>
          </w:p>
        </w:tc>
        <w:tc>
          <w:tcPr>
            <w:tcW w:w="1644" w:type="dxa"/>
            <w:vAlign w:val="center"/>
            <w:textDirection w:val="lrTb"/>
            <w:noWrap/>
          </w:tcPr>
          <w:p>
            <w:pPr>
              <w:pStyle w:val="930"/>
              <w:jc w:val="center"/>
              <w:spacing w:line="360" w:lineRule="auto"/>
              <w:rPr>
                <w:rStyle w:val="855"/>
                <w:rFonts w:ascii="宋体" w:hAnsi="宋体" w:cs="仿宋"/>
                <w:bCs/>
                <w:color w:val="auto"/>
                <w:szCs w:val="21"/>
                <w:highlight w:val="none"/>
              </w:rPr>
            </w:pPr>
            <w:r>
              <w:rPr>
                <w:rStyle w:val="855"/>
                <w:rFonts w:hint="eastAsia" w:ascii="宋体" w:hAnsi="宋体" w:cs="仿宋"/>
                <w:bCs/>
                <w:color w:val="auto"/>
                <w:szCs w:val="21"/>
                <w:highlight w:val="none"/>
              </w:rPr>
              <w:t xml:space="preserve">应急保障响应</w:t>
            </w:r>
            <w:r/>
          </w:p>
        </w:tc>
        <w:tc>
          <w:tcPr>
            <w:tcW w:w="3792" w:type="dxa"/>
            <w:vAlign w:val="center"/>
            <w:textDirection w:val="lrTb"/>
            <w:noWrap/>
          </w:tcPr>
          <w:p>
            <w:pPr>
              <w:pStyle w:val="930"/>
              <w:jc w:val="left"/>
              <w:spacing w:line="360" w:lineRule="auto"/>
              <w:rPr>
                <w:rStyle w:val="855"/>
                <w:rFonts w:ascii="宋体" w:hAnsi="宋体" w:cs="仿宋"/>
                <w:bCs/>
                <w:color w:val="auto"/>
                <w:szCs w:val="21"/>
                <w:highlight w:val="none"/>
              </w:rPr>
            </w:pPr>
            <w:r>
              <w:rPr>
                <w:rStyle w:val="855"/>
                <w:rFonts w:hint="eastAsia" w:ascii="宋体" w:hAnsi="宋体" w:cs="仿宋"/>
                <w:bCs/>
                <w:color w:val="auto"/>
                <w:szCs w:val="21"/>
                <w:highlight w:val="none"/>
              </w:rPr>
              <w:t xml:space="preserve">遇有重大会议、大型赛事娱乐等重点安保活动时，中标供应商要按招标方要求，安排技术人员全程提供现场保障。</w:t>
            </w:r>
            <w:r/>
          </w:p>
        </w:tc>
        <w:tc>
          <w:tcPr>
            <w:tcW w:w="3755" w:type="dxa"/>
            <w:vAlign w:val="center"/>
            <w:textDirection w:val="lrTb"/>
            <w:noWrap/>
          </w:tcPr>
          <w:p>
            <w:pPr>
              <w:pStyle w:val="930"/>
              <w:jc w:val="left"/>
              <w:spacing w:line="360" w:lineRule="auto"/>
              <w:rPr>
                <w:rStyle w:val="855"/>
                <w:rFonts w:hint="eastAsia" w:ascii="宋体" w:hAnsi="宋体" w:cs="仿宋"/>
                <w:bCs/>
                <w:color w:val="auto"/>
                <w:szCs w:val="21"/>
                <w:highlight w:val="none"/>
              </w:rPr>
            </w:pPr>
            <w:r>
              <w:rPr>
                <w:rStyle w:val="855"/>
                <w:rFonts w:hint="eastAsia" w:ascii="宋体" w:hAnsi="宋体" w:cs="仿宋"/>
                <w:bCs/>
                <w:color w:val="auto"/>
                <w:szCs w:val="21"/>
                <w:highlight w:val="none"/>
              </w:rPr>
              <w:t xml:space="preserve">未按要求做好保障工作或不安排人员，每次扣5分。</w:t>
            </w:r>
            <w:r/>
          </w:p>
          <w:p>
            <w:pPr>
              <w:pStyle w:val="930"/>
              <w:jc w:val="left"/>
              <w:spacing w:line="360" w:lineRule="auto"/>
              <w:rPr>
                <w:rStyle w:val="855"/>
                <w:rFonts w:ascii="宋体" w:hAnsi="宋体" w:cs="仿宋"/>
                <w:bCs/>
                <w:color w:val="auto"/>
                <w:szCs w:val="21"/>
                <w:highlight w:val="none"/>
              </w:rPr>
            </w:pPr>
            <w:r>
              <w:rPr>
                <w:rStyle w:val="855"/>
                <w:rFonts w:hint="eastAsia" w:ascii="宋体" w:hAnsi="宋体" w:cs="仿宋"/>
                <w:bCs/>
                <w:color w:val="auto"/>
                <w:szCs w:val="21"/>
                <w:highlight w:val="none"/>
              </w:rPr>
              <w:t xml:space="preserve">活动结束后，提供活动保障工作日志，由招标方签字确认。</w:t>
            </w:r>
            <w:r/>
          </w:p>
        </w:tc>
      </w:tr>
      <w:tr>
        <w:trPr>
          <w:jc w:val="center"/>
          <w:trHeight w:val="793"/>
        </w:trPr>
        <w:tc>
          <w:tcPr>
            <w:gridSpan w:val="4"/>
            <w:tcW w:w="9908" w:type="dxa"/>
            <w:textDirection w:val="lrTb"/>
            <w:noWrap/>
          </w:tcPr>
          <w:p>
            <w:pPr>
              <w:pStyle w:val="930"/>
              <w:spacing w:line="360" w:lineRule="auto"/>
              <w:rPr>
                <w:rStyle w:val="855"/>
                <w:rFonts w:ascii="宋体" w:hAnsi="宋体"/>
                <w:bCs/>
                <w:color w:val="auto"/>
                <w:szCs w:val="21"/>
                <w:highlight w:val="none"/>
              </w:rPr>
            </w:pPr>
            <w:r>
              <w:rPr>
                <w:rStyle w:val="855"/>
                <w:rFonts w:hint="eastAsia" w:ascii="宋体" w:hAnsi="宋体"/>
                <w:bCs/>
                <w:color w:val="auto"/>
                <w:szCs w:val="21"/>
                <w:highlight w:val="none"/>
              </w:rPr>
              <w:t xml:space="preserve">考核说明：</w:t>
            </w:r>
            <w:r/>
          </w:p>
          <w:p>
            <w:pPr>
              <w:pStyle w:val="930"/>
              <w:spacing w:line="360" w:lineRule="auto"/>
              <w:rPr>
                <w:rStyle w:val="855"/>
                <w:rFonts w:ascii="宋体" w:hAnsi="宋体"/>
                <w:bCs/>
                <w:color w:val="auto"/>
                <w:szCs w:val="21"/>
                <w:highlight w:val="none"/>
              </w:rPr>
            </w:pPr>
            <w:r>
              <w:rPr>
                <w:rStyle w:val="855"/>
                <w:rFonts w:hint="eastAsia" w:ascii="宋体" w:hAnsi="宋体"/>
                <w:bCs/>
                <w:color w:val="auto"/>
                <w:szCs w:val="21"/>
                <w:highlight w:val="none"/>
              </w:rPr>
              <w:t xml:space="preserve">1、由招标方考核小组进行考核。</w:t>
            </w:r>
            <w:r/>
          </w:p>
          <w:p>
            <w:pPr>
              <w:pStyle w:val="930"/>
              <w:spacing w:line="360" w:lineRule="auto"/>
              <w:rPr>
                <w:rStyle w:val="855"/>
                <w:rFonts w:ascii="宋体" w:hAnsi="宋体"/>
                <w:bCs/>
                <w:color w:val="auto"/>
                <w:szCs w:val="21"/>
                <w:highlight w:val="none"/>
              </w:rPr>
            </w:pPr>
            <w:r>
              <w:rPr>
                <w:rStyle w:val="855"/>
                <w:rFonts w:hint="eastAsia" w:ascii="宋体" w:hAnsi="宋体"/>
                <w:bCs/>
                <w:color w:val="auto"/>
                <w:szCs w:val="21"/>
                <w:highlight w:val="none"/>
              </w:rPr>
              <w:t xml:space="preserve">2、考核以月为一个记分周期，付款考核得分=100-每年考核累计扣分。</w:t>
            </w:r>
            <w:r/>
          </w:p>
          <w:p>
            <w:pPr>
              <w:pStyle w:val="930"/>
              <w:spacing w:line="360" w:lineRule="auto"/>
              <w:rPr>
                <w:rStyle w:val="855"/>
                <w:rFonts w:ascii="宋体" w:hAnsi="宋体"/>
                <w:bCs/>
                <w:color w:val="auto"/>
                <w:szCs w:val="21"/>
                <w:highlight w:val="none"/>
              </w:rPr>
            </w:pPr>
            <w:r>
              <w:rPr>
                <w:rStyle w:val="855"/>
                <w:rFonts w:hint="eastAsia" w:ascii="宋体" w:hAnsi="宋体"/>
                <w:bCs/>
                <w:color w:val="auto"/>
                <w:szCs w:val="21"/>
                <w:highlight w:val="none"/>
              </w:rPr>
              <w:t xml:space="preserve">3、考核结果作为费用结算的依据。</w:t>
            </w:r>
            <w:r/>
          </w:p>
          <w:p>
            <w:pPr>
              <w:pStyle w:val="930"/>
              <w:spacing w:line="360" w:lineRule="auto"/>
              <w:rPr>
                <w:rStyle w:val="855"/>
                <w:rFonts w:ascii="宋体" w:hAnsi="宋体"/>
                <w:bCs/>
                <w:color w:val="auto"/>
                <w:szCs w:val="21"/>
                <w:highlight w:val="none"/>
              </w:rPr>
            </w:pPr>
            <w:r>
              <w:rPr>
                <w:rStyle w:val="855"/>
                <w:rFonts w:hint="eastAsia" w:ascii="宋体" w:hAnsi="宋体"/>
                <w:bCs/>
                <w:color w:val="auto"/>
                <w:szCs w:val="21"/>
                <w:highlight w:val="none"/>
              </w:rPr>
              <w:t xml:space="preserve">（1）考核成绩在95分以上（含95分）支付费用标准的100%；</w:t>
            </w:r>
            <w:r/>
          </w:p>
          <w:p>
            <w:pPr>
              <w:pStyle w:val="930"/>
              <w:spacing w:line="360" w:lineRule="auto"/>
              <w:rPr>
                <w:rStyle w:val="855"/>
                <w:rFonts w:ascii="宋体" w:hAnsi="宋体"/>
                <w:bCs/>
                <w:color w:val="auto"/>
                <w:szCs w:val="21"/>
                <w:highlight w:val="none"/>
              </w:rPr>
            </w:pPr>
            <w:r>
              <w:rPr>
                <w:rStyle w:val="855"/>
                <w:rFonts w:hint="eastAsia" w:ascii="宋体" w:hAnsi="宋体"/>
                <w:bCs/>
                <w:color w:val="auto"/>
                <w:szCs w:val="21"/>
                <w:highlight w:val="none"/>
              </w:rPr>
              <w:t xml:space="preserve">（2）考核成绩在95—85分（不含95分）之间的，支付费用标准的98%；</w:t>
            </w:r>
            <w:r/>
          </w:p>
          <w:p>
            <w:pPr>
              <w:pStyle w:val="930"/>
              <w:spacing w:line="360" w:lineRule="auto"/>
              <w:rPr>
                <w:rStyle w:val="855"/>
                <w:rFonts w:ascii="宋体" w:hAnsi="宋体"/>
                <w:bCs/>
                <w:color w:val="auto"/>
                <w:szCs w:val="21"/>
                <w:highlight w:val="none"/>
              </w:rPr>
            </w:pPr>
            <w:r>
              <w:rPr>
                <w:rStyle w:val="855"/>
                <w:rFonts w:hint="eastAsia" w:ascii="宋体" w:hAnsi="宋体"/>
                <w:bCs/>
                <w:color w:val="auto"/>
                <w:szCs w:val="21"/>
                <w:highlight w:val="none"/>
              </w:rPr>
              <w:t xml:space="preserve">（3）考核成绩在85—75分（含85分）之间的，支付费用标准的95%；</w:t>
            </w:r>
            <w:r/>
          </w:p>
          <w:p>
            <w:pPr>
              <w:pStyle w:val="930"/>
              <w:spacing w:line="360" w:lineRule="auto"/>
              <w:rPr>
                <w:rStyle w:val="855"/>
                <w:rFonts w:ascii="宋体" w:hAnsi="宋体"/>
                <w:bCs/>
                <w:color w:val="auto"/>
                <w:szCs w:val="21"/>
                <w:highlight w:val="none"/>
              </w:rPr>
            </w:pPr>
            <w:r>
              <w:rPr>
                <w:rStyle w:val="855"/>
                <w:rFonts w:hint="eastAsia" w:ascii="宋体" w:hAnsi="宋体"/>
                <w:bCs/>
                <w:color w:val="auto"/>
                <w:szCs w:val="21"/>
                <w:highlight w:val="none"/>
              </w:rPr>
              <w:t xml:space="preserve">（4）考核成绩在75分及以下的视为考核不合格，不支付费用。</w:t>
            </w:r>
            <w:r/>
          </w:p>
          <w:p>
            <w:pPr>
              <w:pStyle w:val="930"/>
              <w:spacing w:line="360" w:lineRule="auto"/>
              <w:rPr>
                <w:rStyle w:val="855"/>
                <w:rFonts w:ascii="宋体" w:hAnsi="宋体"/>
                <w:bCs/>
                <w:color w:val="auto"/>
                <w:szCs w:val="21"/>
                <w:highlight w:val="none"/>
              </w:rPr>
            </w:pPr>
            <w:r>
              <w:rPr>
                <w:rStyle w:val="855"/>
                <w:rFonts w:hint="eastAsia" w:ascii="宋体" w:hAnsi="宋体"/>
                <w:bCs/>
                <w:color w:val="auto"/>
                <w:szCs w:val="21"/>
                <w:highlight w:val="none"/>
              </w:rPr>
              <w:t xml:space="preserve">注：供应商在服务期限内停止服务或年度考核结果均低于75分的，解除与该供应商的合同。</w:t>
            </w:r>
            <w:r/>
          </w:p>
          <w:p>
            <w:pPr>
              <w:pStyle w:val="930"/>
              <w:ind w:firstLine="480"/>
              <w:spacing w:line="360" w:lineRule="auto"/>
              <w:rPr>
                <w:rStyle w:val="855"/>
                <w:rFonts w:ascii="宋体" w:hAnsi="宋体"/>
                <w:bCs/>
                <w:color w:val="auto"/>
                <w:szCs w:val="21"/>
                <w:highlight w:val="none"/>
              </w:rPr>
            </w:pPr>
            <w:r>
              <w:rPr>
                <w:rStyle w:val="855"/>
                <w:rFonts w:hint="eastAsia" w:ascii="宋体" w:hAnsi="宋体"/>
                <w:bCs/>
                <w:color w:val="auto"/>
                <w:szCs w:val="21"/>
                <w:highlight w:val="none"/>
              </w:rPr>
              <w:t xml:space="preserve">供应商在服务期限内中断服务的，扣除中断期间的所有费用。</w:t>
            </w:r>
            <w:r/>
          </w:p>
        </w:tc>
      </w:tr>
    </w:tbl>
    <w:p>
      <w:pPr>
        <w:rPr>
          <w:color w:val="auto"/>
          <w:highlight w:val="none"/>
        </w:rPr>
      </w:pPr>
      <w:r>
        <w:rPr>
          <w:color w:val="auto"/>
          <w:highlight w:val="none"/>
        </w:rPr>
      </w:r>
      <w:r/>
    </w:p>
    <w:p>
      <w:pPr>
        <w:pStyle w:val="863"/>
        <w:ind w:firstLine="420"/>
        <w:jc w:val="center"/>
        <w:spacing w:before="0" w:beforeAutospacing="0" w:after="0" w:afterAutospacing="0" w:line="440" w:lineRule="exact"/>
        <w:rPr>
          <w:rFonts w:ascii="宋体" w:hAnsi="宋体" w:cs="宋体"/>
          <w:b/>
          <w:bCs/>
          <w:color w:val="auto"/>
          <w:highlight w:val="none"/>
          <w:shd w:val="clear" w:color="auto" w:fill="ffffff"/>
        </w:rPr>
      </w:pPr>
      <w:r>
        <w:rPr>
          <w:rFonts w:ascii="宋体" w:hAnsi="宋体" w:cs="宋体"/>
          <w:b/>
          <w:bCs/>
          <w:color w:val="auto"/>
          <w:highlight w:val="none"/>
          <w:shd w:val="clear" w:color="auto" w:fill="ffffff"/>
        </w:rPr>
      </w:r>
      <w:r/>
    </w:p>
    <w:p>
      <w:pPr>
        <w:pStyle w:val="863"/>
        <w:ind w:firstLine="420"/>
        <w:jc w:val="center"/>
        <w:spacing w:before="0" w:beforeAutospacing="0" w:after="0" w:afterAutospacing="0" w:line="440" w:lineRule="exact"/>
        <w:rPr>
          <w:rFonts w:ascii="宋体" w:hAnsi="宋体" w:cs="宋体"/>
          <w:b/>
          <w:bCs/>
          <w:color w:val="auto"/>
          <w:highlight w:val="none"/>
          <w:shd w:val="clear" w:color="auto" w:fill="ffffff"/>
        </w:rPr>
      </w:pPr>
      <w:r>
        <w:rPr>
          <w:rFonts w:ascii="宋体" w:hAnsi="宋体" w:cs="宋体"/>
          <w:b/>
          <w:bCs/>
          <w:color w:val="auto"/>
          <w:highlight w:val="none"/>
          <w:shd w:val="clear" w:color="auto" w:fill="ffffff"/>
        </w:rPr>
      </w:r>
      <w:r/>
    </w:p>
    <w:p>
      <w:pPr>
        <w:pStyle w:val="863"/>
        <w:ind w:firstLine="420"/>
        <w:jc w:val="center"/>
        <w:spacing w:before="0" w:beforeAutospacing="0" w:after="0" w:afterAutospacing="0" w:line="440" w:lineRule="exact"/>
        <w:rPr>
          <w:rFonts w:ascii="宋体" w:hAnsi="宋体" w:cs="宋体"/>
          <w:b/>
          <w:bCs/>
          <w:color w:val="auto"/>
          <w:highlight w:val="none"/>
          <w:shd w:val="clear" w:color="auto" w:fill="ffffff"/>
        </w:rPr>
      </w:pPr>
      <w:r>
        <w:rPr>
          <w:rFonts w:ascii="宋体" w:hAnsi="宋体" w:cs="宋体"/>
          <w:b/>
          <w:bCs/>
          <w:color w:val="auto"/>
          <w:highlight w:val="none"/>
          <w:shd w:val="clear" w:color="auto" w:fill="ffffff"/>
        </w:rPr>
      </w:r>
      <w:r/>
    </w:p>
    <w:p>
      <w:pPr>
        <w:pStyle w:val="863"/>
        <w:ind w:firstLine="420"/>
        <w:jc w:val="center"/>
        <w:spacing w:before="0" w:beforeAutospacing="0" w:after="0" w:afterAutospacing="0" w:line="440" w:lineRule="exact"/>
        <w:rPr>
          <w:rFonts w:ascii="宋体" w:hAnsi="宋体" w:cs="宋体"/>
          <w:b/>
          <w:bCs/>
          <w:color w:val="auto"/>
          <w:highlight w:val="none"/>
          <w:shd w:val="clear" w:color="auto" w:fill="ffffff"/>
        </w:rPr>
      </w:pPr>
      <w:r>
        <w:rPr>
          <w:rFonts w:ascii="宋体" w:hAnsi="宋体" w:cs="宋体"/>
          <w:b/>
          <w:bCs/>
          <w:color w:val="auto"/>
          <w:highlight w:val="none"/>
          <w:shd w:val="clear" w:color="auto" w:fill="ffffff"/>
        </w:rPr>
      </w:r>
      <w:r/>
    </w:p>
    <w:p>
      <w:pPr>
        <w:pStyle w:val="863"/>
        <w:ind w:firstLine="420"/>
        <w:jc w:val="center"/>
        <w:spacing w:before="0" w:beforeAutospacing="0" w:after="0" w:afterAutospacing="0" w:line="440" w:lineRule="exact"/>
        <w:rPr>
          <w:rFonts w:ascii="宋体" w:hAnsi="宋体" w:cs="宋体"/>
          <w:b/>
          <w:bCs/>
          <w:color w:val="auto"/>
          <w:highlight w:val="none"/>
          <w:shd w:val="clear" w:color="auto" w:fill="ffffff"/>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auto"/>
          <w:highlight w:val="none"/>
          <w:shd w:val="clear" w:color="auto" w:fill="ffffff"/>
        </w:rPr>
      </w:r>
      <w:r/>
    </w:p>
    <w:p>
      <w:pPr>
        <w:pStyle w:val="863"/>
        <w:jc w:val="center"/>
        <w:spacing w:before="0" w:beforeAutospacing="0" w:after="0" w:afterAutospacing="0" w:line="440" w:lineRule="exact"/>
        <w:rPr>
          <w:rFonts w:ascii="宋体" w:hAnsi="宋体" w:cs="宋体"/>
          <w:b/>
          <w:bCs/>
          <w:color w:val="auto"/>
          <w:sz w:val="36"/>
          <w:szCs w:val="36"/>
          <w:highlight w:val="none"/>
          <w:shd w:val="clear" w:color="auto" w:fill="ffffff"/>
        </w:rPr>
      </w:pPr>
      <w:r>
        <w:rPr>
          <w:rFonts w:hint="eastAsia" w:ascii="宋体" w:hAnsi="宋体" w:cs="宋体"/>
          <w:b/>
          <w:bCs/>
          <w:color w:val="auto"/>
          <w:sz w:val="36"/>
          <w:szCs w:val="36"/>
          <w:highlight w:val="none"/>
          <w:shd w:val="clear" w:color="auto" w:fill="ffffff"/>
        </w:rPr>
        <w:t xml:space="preserve">第六部分  投标文件格式</w:t>
      </w:r>
      <w:bookmarkEnd w:id="121"/>
      <w:r/>
      <w:bookmarkEnd w:id="122"/>
      <w:r/>
      <w:r/>
    </w:p>
    <w:p>
      <w:pPr>
        <w:pStyle w:val="863"/>
        <w:jc w:val="center"/>
        <w:spacing w:before="0" w:beforeAutospacing="0" w:after="0" w:afterAutospacing="0" w:line="440" w:lineRule="exact"/>
        <w:rPr>
          <w:rFonts w:ascii="宋体" w:hAnsi="宋体" w:cs="宋体"/>
          <w:b/>
          <w:bCs/>
          <w:color w:val="auto"/>
          <w:highlight w:val="none"/>
        </w:rPr>
      </w:pPr>
      <w:r>
        <w:rPr>
          <w:rFonts w:ascii="宋体" w:hAnsi="宋体" w:cs="宋体"/>
          <w:b/>
          <w:bCs/>
          <w:color w:val="auto"/>
          <w:highlight w:val="none"/>
        </w:rPr>
      </w:r>
      <w:r/>
    </w:p>
    <w:p>
      <w:pPr>
        <w:pStyle w:val="863"/>
        <w:jc w:val="center"/>
        <w:spacing w:before="0" w:beforeAutospacing="0" w:after="0" w:afterAutospacing="0" w:line="440" w:lineRule="exact"/>
        <w:rPr>
          <w:rFonts w:ascii="宋体" w:hAnsi="宋体" w:cs="宋体"/>
          <w:b/>
          <w:bCs/>
          <w:color w:val="auto"/>
          <w:highlight w:val="none"/>
        </w:rPr>
      </w:pPr>
      <w:r>
        <w:rPr>
          <w:rFonts w:ascii="宋体" w:hAnsi="宋体" w:cs="宋体"/>
          <w:b/>
          <w:bCs/>
          <w:color w:val="auto"/>
          <w:highlight w:val="none"/>
        </w:rPr>
      </w:r>
      <w:r/>
    </w:p>
    <w:p>
      <w:pPr>
        <w:pStyle w:val="863"/>
        <w:jc w:val="center"/>
        <w:spacing w:before="0" w:beforeAutospacing="0" w:after="0" w:afterAutospacing="0" w:line="440" w:lineRule="exact"/>
        <w:rPr>
          <w:rFonts w:ascii="宋体" w:hAnsi="宋体" w:cs="宋体"/>
          <w:b/>
          <w:bCs/>
          <w:color w:val="auto"/>
          <w:highlight w:val="none"/>
        </w:rPr>
      </w:pPr>
      <w:r>
        <w:rPr>
          <w:rFonts w:ascii="宋体" w:hAnsi="宋体" w:cs="宋体"/>
          <w:b/>
          <w:bCs/>
          <w:color w:val="auto"/>
          <w:highlight w:val="none"/>
        </w:rPr>
      </w:r>
      <w:r/>
    </w:p>
    <w:p>
      <w:pPr>
        <w:pStyle w:val="863"/>
        <w:jc w:val="center"/>
        <w:spacing w:before="0" w:beforeAutospacing="0" w:after="0" w:afterAutospacing="0" w:line="440" w:lineRule="exact"/>
        <w:rPr>
          <w:rFonts w:ascii="宋体" w:hAnsi="宋体" w:cs="宋体"/>
          <w:b/>
          <w:bCs/>
          <w:color w:val="auto"/>
          <w:sz w:val="36"/>
          <w:szCs w:val="36"/>
          <w:highlight w:val="none"/>
          <w:shd w:val="clear" w:color="auto" w:fill="ffffff"/>
        </w:rPr>
      </w:pPr>
      <w:r>
        <w:rPr>
          <w:rFonts w:hint="eastAsia" w:ascii="宋体" w:hAnsi="宋体" w:cs="宋体"/>
          <w:b/>
          <w:bCs/>
          <w:color w:val="auto"/>
          <w:sz w:val="36"/>
          <w:szCs w:val="36"/>
          <w:highlight w:val="none"/>
          <w:shd w:val="clear" w:color="auto" w:fill="ffffff"/>
        </w:rPr>
        <w:t xml:space="preserve">投  标  文  件</w:t>
      </w:r>
      <w:r/>
    </w:p>
    <w:p>
      <w:pPr>
        <w:pStyle w:val="863"/>
        <w:jc w:val="center"/>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 </w:t>
      </w:r>
      <w:r/>
    </w:p>
    <w:p>
      <w:pPr>
        <w:pStyle w:val="863"/>
        <w:jc w:val="center"/>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 </w:t>
      </w:r>
      <w:r/>
    </w:p>
    <w:p>
      <w:pPr>
        <w:pStyle w:val="863"/>
        <w:jc w:val="center"/>
        <w:spacing w:before="0" w:beforeAutospacing="0" w:after="0" w:afterAutospacing="0" w:line="440" w:lineRule="exact"/>
        <w:rPr>
          <w:rFonts w:ascii="宋体" w:hAnsi="宋体" w:cs="宋体"/>
          <w:color w:val="auto"/>
          <w:highlight w:val="none"/>
        </w:rPr>
      </w:pPr>
      <w:r>
        <w:rPr>
          <w:rFonts w:ascii="宋体" w:hAnsi="宋体" w:cs="宋体"/>
          <w:color w:val="auto"/>
          <w:highlight w:val="none"/>
        </w:rPr>
      </w:r>
      <w:r/>
    </w:p>
    <w:p>
      <w:pPr>
        <w:pStyle w:val="863"/>
        <w:jc w:val="center"/>
        <w:spacing w:before="0" w:beforeAutospacing="0" w:after="0" w:afterAutospacing="0" w:line="440" w:lineRule="exact"/>
        <w:rPr>
          <w:rFonts w:ascii="宋体" w:hAnsi="宋体" w:cs="宋体"/>
          <w:color w:val="auto"/>
          <w:highlight w:val="none"/>
        </w:rPr>
      </w:pPr>
      <w:r>
        <w:rPr>
          <w:rFonts w:ascii="宋体" w:hAnsi="宋体" w:cs="宋体"/>
          <w:color w:val="auto"/>
          <w:highlight w:val="none"/>
        </w:rPr>
      </w:r>
      <w:r/>
    </w:p>
    <w:p>
      <w:pPr>
        <w:pStyle w:val="863"/>
        <w:jc w:val="center"/>
        <w:spacing w:before="0" w:beforeAutospacing="0" w:after="0" w:afterAutospacing="0" w:line="440" w:lineRule="exact"/>
        <w:rPr>
          <w:rFonts w:ascii="宋体" w:hAnsi="宋体" w:cs="宋体"/>
          <w:color w:val="auto"/>
          <w:highlight w:val="none"/>
        </w:rPr>
      </w:pPr>
      <w:r>
        <w:rPr>
          <w:rFonts w:ascii="宋体" w:hAnsi="宋体" w:cs="宋体"/>
          <w:color w:val="auto"/>
          <w:highlight w:val="none"/>
        </w:rPr>
      </w:r>
      <w:r/>
    </w:p>
    <w:p>
      <w:pPr>
        <w:pStyle w:val="863"/>
        <w:jc w:val="center"/>
        <w:spacing w:before="0" w:beforeAutospacing="0" w:after="0" w:afterAutospacing="0" w:line="440" w:lineRule="exact"/>
        <w:rPr>
          <w:rFonts w:ascii="宋体" w:hAnsi="宋体" w:cs="宋体"/>
          <w:color w:val="auto"/>
          <w:highlight w:val="none"/>
        </w:rPr>
      </w:pPr>
      <w:r>
        <w:rPr>
          <w:rFonts w:ascii="宋体" w:hAnsi="宋体" w:cs="宋体"/>
          <w:color w:val="auto"/>
          <w:highlight w:val="none"/>
        </w:rPr>
      </w:r>
      <w:r/>
    </w:p>
    <w:p>
      <w:pPr>
        <w:pStyle w:val="863"/>
        <w:jc w:val="center"/>
        <w:spacing w:before="0" w:beforeAutospacing="0" w:after="0" w:afterAutospacing="0" w:line="440" w:lineRule="exact"/>
        <w:rPr>
          <w:rFonts w:ascii="宋体" w:hAnsi="宋体" w:cs="宋体"/>
          <w:color w:val="auto"/>
          <w:highlight w:val="none"/>
        </w:rPr>
      </w:pPr>
      <w:r>
        <w:rPr>
          <w:rFonts w:ascii="宋体" w:hAnsi="宋体" w:cs="宋体"/>
          <w:color w:val="auto"/>
          <w:highlight w:val="none"/>
        </w:rPr>
      </w:r>
      <w:r/>
    </w:p>
    <w:p>
      <w:pPr>
        <w:pStyle w:val="863"/>
        <w:jc w:val="center"/>
        <w:spacing w:before="0" w:beforeAutospacing="0" w:after="0" w:afterAutospacing="0" w:line="440" w:lineRule="exact"/>
        <w:rPr>
          <w:rFonts w:ascii="宋体" w:hAnsi="宋体" w:cs="宋体"/>
          <w:color w:val="auto"/>
          <w:highlight w:val="none"/>
        </w:rPr>
      </w:pPr>
      <w:r>
        <w:rPr>
          <w:rFonts w:ascii="宋体" w:hAnsi="宋体" w:cs="宋体"/>
          <w:color w:val="auto"/>
          <w:highlight w:val="none"/>
        </w:rPr>
      </w:r>
      <w:r/>
    </w:p>
    <w:p>
      <w:pPr>
        <w:pStyle w:val="863"/>
        <w:jc w:val="center"/>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 </w:t>
      </w:r>
      <w:r/>
    </w:p>
    <w:p>
      <w:pPr>
        <w:pStyle w:val="863"/>
        <w:jc w:val="center"/>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 </w:t>
      </w:r>
      <w:r/>
    </w:p>
    <w:p>
      <w:pPr>
        <w:pStyle w:val="863"/>
        <w:jc w:val="center"/>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 </w:t>
      </w:r>
      <w:r/>
    </w:p>
    <w:p>
      <w:pPr>
        <w:pStyle w:val="863"/>
        <w:ind w:firstLine="1084"/>
        <w:jc w:val="both"/>
        <w:spacing w:before="0" w:beforeAutospacing="0" w:after="0" w:afterAutospacing="0" w:line="440" w:lineRule="exact"/>
        <w:rPr>
          <w:rFonts w:ascii="宋体" w:hAnsi="宋体" w:cs="宋体"/>
          <w:color w:val="auto"/>
          <w:highlight w:val="none"/>
        </w:rPr>
      </w:pPr>
      <w:r>
        <w:rPr>
          <w:rFonts w:hint="eastAsia" w:ascii="宋体" w:hAnsi="宋体" w:cs="宋体"/>
          <w:b/>
          <w:bCs/>
          <w:color w:val="auto"/>
          <w:highlight w:val="none"/>
        </w:rPr>
        <w:t xml:space="preserve">项 目 名 称：</w:t>
      </w:r>
      <w:r>
        <w:rPr>
          <w:rFonts w:hint="eastAsia" w:ascii="宋体" w:hAnsi="宋体" w:cs="宋体"/>
          <w:b/>
          <w:bCs/>
          <w:color w:val="auto"/>
          <w:highlight w:val="none"/>
          <w:u w:val="single"/>
        </w:rPr>
        <w:t xml:space="preserve">               </w:t>
      </w:r>
      <w:r/>
    </w:p>
    <w:p>
      <w:pPr>
        <w:pStyle w:val="863"/>
        <w:ind w:firstLine="1084"/>
        <w:jc w:val="both"/>
        <w:spacing w:before="0" w:beforeAutospacing="0" w:after="0" w:afterAutospacing="0" w:line="440" w:lineRule="exact"/>
        <w:rPr>
          <w:rFonts w:ascii="宋体" w:hAnsi="宋体" w:cs="宋体"/>
          <w:color w:val="auto"/>
          <w:highlight w:val="none"/>
        </w:rPr>
      </w:pPr>
      <w:r>
        <w:rPr>
          <w:rFonts w:hint="eastAsia" w:ascii="宋体" w:hAnsi="宋体" w:cs="宋体"/>
          <w:b/>
          <w:bCs/>
          <w:color w:val="auto"/>
          <w:highlight w:val="none"/>
        </w:rPr>
        <w:t xml:space="preserve">项 目 编 号：</w:t>
      </w:r>
      <w:r>
        <w:rPr>
          <w:rFonts w:hint="eastAsia" w:ascii="宋体" w:hAnsi="宋体" w:cs="宋体"/>
          <w:b/>
          <w:bCs/>
          <w:color w:val="auto"/>
          <w:highlight w:val="none"/>
          <w:u w:val="single"/>
        </w:rPr>
        <w:t xml:space="preserve">               </w:t>
      </w:r>
      <w:r/>
    </w:p>
    <w:p>
      <w:pPr>
        <w:pStyle w:val="863"/>
        <w:jc w:val="both"/>
        <w:spacing w:before="0" w:beforeAutospacing="0" w:after="0" w:afterAutospacing="0" w:line="440" w:lineRule="exact"/>
        <w:rPr>
          <w:rFonts w:ascii="宋体" w:hAnsi="宋体" w:cs="宋体"/>
          <w:color w:val="auto"/>
          <w:highlight w:val="none"/>
        </w:rPr>
      </w:pPr>
      <w:r>
        <w:rPr>
          <w:rFonts w:hint="eastAsia" w:ascii="宋体" w:hAnsi="宋体" w:cs="宋体"/>
          <w:b/>
          <w:bCs/>
          <w:color w:val="auto"/>
          <w:highlight w:val="none"/>
        </w:rPr>
        <w:t xml:space="preserve">    </w:t>
      </w:r>
      <w:r>
        <w:rPr>
          <w:rFonts w:hint="eastAsia" w:ascii="宋体" w:hAnsi="宋体" w:cs="宋体"/>
          <w:b/>
          <w:bCs/>
          <w:color w:val="auto"/>
          <w:highlight w:val="none"/>
          <w:lang w:val="en-US" w:eastAsia="zh-CN"/>
        </w:rPr>
        <w:t xml:space="preserve"> </w:t>
      </w:r>
      <w:r>
        <w:rPr>
          <w:rFonts w:hint="eastAsia" w:ascii="宋体" w:hAnsi="宋体" w:cs="宋体"/>
          <w:b/>
          <w:bCs/>
          <w:color w:val="auto"/>
          <w:highlight w:val="none"/>
        </w:rPr>
        <w:t xml:space="preserve">投标人名称 ：</w:t>
      </w:r>
      <w:r>
        <w:rPr>
          <w:rFonts w:hint="eastAsia" w:ascii="宋体" w:hAnsi="宋体" w:cs="宋体"/>
          <w:b/>
          <w:bCs/>
          <w:color w:val="auto"/>
          <w:highlight w:val="none"/>
          <w:u w:val="single"/>
        </w:rPr>
        <w:t xml:space="preserve">（盖CA电子公章）</w:t>
      </w:r>
      <w:r/>
    </w:p>
    <w:p>
      <w:pPr>
        <w:pStyle w:val="863"/>
        <w:jc w:val="both"/>
        <w:spacing w:before="0" w:beforeAutospacing="0" w:after="0" w:afterAutospacing="0" w:line="440" w:lineRule="exact"/>
        <w:rPr>
          <w:rFonts w:ascii="宋体" w:hAnsi="宋体" w:cs="宋体"/>
          <w:color w:val="auto"/>
          <w:highlight w:val="none"/>
        </w:rPr>
      </w:pPr>
      <w:r>
        <w:rPr>
          <w:rFonts w:hint="eastAsia" w:ascii="宋体" w:hAnsi="宋体" w:cs="宋体"/>
          <w:b/>
          <w:bCs/>
          <w:color w:val="auto"/>
          <w:highlight w:val="none"/>
        </w:rPr>
        <w:t xml:space="preserve">    </w:t>
      </w:r>
      <w:r>
        <w:rPr>
          <w:rFonts w:hint="eastAsia" w:ascii="宋体" w:hAnsi="宋体" w:cs="宋体"/>
          <w:b/>
          <w:bCs/>
          <w:color w:val="auto"/>
          <w:highlight w:val="none"/>
          <w:lang w:val="en-US" w:eastAsia="zh-CN"/>
        </w:rPr>
        <w:t xml:space="preserve"> </w:t>
      </w:r>
      <w:r>
        <w:rPr>
          <w:rFonts w:hint="eastAsia" w:ascii="宋体" w:hAnsi="宋体" w:cs="宋体"/>
          <w:b/>
          <w:bCs/>
          <w:color w:val="auto"/>
          <w:highlight w:val="none"/>
        </w:rPr>
        <w:t xml:space="preserve">日  </w:t>
      </w:r>
      <w:r>
        <w:rPr>
          <w:rFonts w:hint="eastAsia" w:ascii="宋体" w:hAnsi="宋体" w:cs="宋体"/>
          <w:b/>
          <w:bCs/>
          <w:color w:val="auto"/>
          <w:highlight w:val="none"/>
          <w:lang w:val="en-US" w:eastAsia="zh-CN"/>
        </w:rPr>
        <w:t xml:space="preserve">  </w:t>
      </w:r>
      <w:r>
        <w:rPr>
          <w:rFonts w:hint="eastAsia" w:ascii="宋体" w:hAnsi="宋体" w:cs="宋体"/>
          <w:b/>
          <w:bCs/>
          <w:color w:val="auto"/>
          <w:highlight w:val="none"/>
        </w:rPr>
        <w:t xml:space="preserve">期 ：</w:t>
      </w:r>
      <w:r>
        <w:rPr>
          <w:rFonts w:hint="eastAsia" w:ascii="宋体" w:hAnsi="宋体" w:cs="宋体"/>
          <w:b/>
          <w:bCs/>
          <w:color w:val="auto"/>
          <w:highlight w:val="none"/>
          <w:u w:val="single"/>
        </w:rPr>
        <w:t xml:space="preserve">               </w:t>
      </w:r>
      <w:r/>
    </w:p>
    <w:p>
      <w:pPr>
        <w:pStyle w:val="863"/>
        <w:spacing w:before="0" w:beforeAutospacing="0" w:after="0" w:afterAutospacing="0" w:line="440" w:lineRule="exact"/>
        <w:widowControl/>
        <w:rPr>
          <w:rFonts w:ascii="宋体" w:hAnsi="宋体" w:cs="宋体"/>
          <w:color w:val="auto"/>
          <w:highlight w:val="none"/>
        </w:rPr>
      </w:pPr>
      <w:r>
        <w:rPr>
          <w:rFonts w:hint="eastAsia" w:ascii="宋体" w:hAnsi="宋体" w:cs="宋体"/>
          <w:color w:val="auto"/>
          <w:highlight w:val="none"/>
        </w:rPr>
        <w:t xml:space="preserve"> </w:t>
      </w:r>
      <w:r/>
    </w:p>
    <w:p>
      <w:pPr>
        <w:pStyle w:val="863"/>
        <w:spacing w:before="0" w:beforeAutospacing="0" w:after="0" w:afterAutospacing="0" w:line="440" w:lineRule="exact"/>
        <w:widowControl/>
        <w:rPr>
          <w:rFonts w:ascii="宋体" w:hAnsi="宋体" w:cs="宋体"/>
          <w:color w:val="auto"/>
          <w:highlight w:val="none"/>
        </w:rPr>
      </w:pPr>
      <w:r>
        <w:rPr>
          <w:rFonts w:hint="eastAsia" w:ascii="宋体" w:hAnsi="宋体" w:cs="宋体"/>
          <w:color w:val="auto"/>
          <w:highlight w:val="none"/>
        </w:rPr>
        <w:t xml:space="preserve"> </w:t>
      </w:r>
      <w:r/>
    </w:p>
    <w:p>
      <w:pPr>
        <w:pStyle w:val="863"/>
        <w:spacing w:before="0" w:beforeAutospacing="0" w:after="0" w:afterAutospacing="0" w:line="440" w:lineRule="exact"/>
        <w:widowControl/>
        <w:rPr>
          <w:rFonts w:ascii="宋体" w:hAnsi="宋体" w:cs="宋体"/>
          <w:color w:val="auto"/>
          <w:highlight w:val="none"/>
        </w:rPr>
      </w:pPr>
      <w:r>
        <w:rPr>
          <w:rFonts w:hint="eastAsia" w:ascii="宋体" w:hAnsi="宋体" w:cs="宋体"/>
          <w:color w:val="auto"/>
          <w:highlight w:val="none"/>
        </w:rPr>
        <w:t xml:space="preserve"> </w:t>
      </w:r>
      <w:r/>
    </w:p>
    <w:p>
      <w:pPr>
        <w:pStyle w:val="863"/>
        <w:spacing w:before="0" w:beforeAutospacing="0" w:after="0" w:afterAutospacing="0" w:line="440" w:lineRule="exact"/>
        <w:widowControl/>
        <w:rPr>
          <w:rFonts w:ascii="宋体" w:hAnsi="宋体" w:cs="宋体"/>
          <w:color w:val="auto"/>
          <w:highlight w:val="none"/>
        </w:rPr>
      </w:pPr>
      <w:r>
        <w:rPr>
          <w:rFonts w:hint="eastAsia" w:ascii="宋体" w:hAnsi="宋体" w:cs="宋体"/>
          <w:color w:val="auto"/>
          <w:highlight w:val="none"/>
        </w:rPr>
        <w:t xml:space="preserve"> </w:t>
      </w:r>
      <w:r/>
    </w:p>
    <w:p>
      <w:pPr>
        <w:pStyle w:val="863"/>
        <w:spacing w:before="0" w:beforeAutospacing="0" w:after="0" w:afterAutospacing="0" w:line="440" w:lineRule="exact"/>
        <w:widowControl/>
        <w:rPr>
          <w:rFonts w:ascii="宋体" w:hAnsi="宋体" w:cs="宋体"/>
          <w:color w:val="auto"/>
          <w:highlight w:val="none"/>
        </w:rPr>
      </w:pPr>
      <w:r>
        <w:rPr>
          <w:rFonts w:hint="eastAsia" w:ascii="宋体" w:hAnsi="宋体" w:cs="宋体"/>
          <w:color w:val="auto"/>
          <w:highlight w:val="none"/>
        </w:rPr>
        <w:t xml:space="preserve"> </w:t>
      </w:r>
      <w:r/>
    </w:p>
    <w:p>
      <w:pPr>
        <w:pStyle w:val="863"/>
        <w:spacing w:before="0" w:beforeAutospacing="0" w:after="0" w:afterAutospacing="0" w:line="440" w:lineRule="exact"/>
        <w:widowControl/>
        <w:rPr>
          <w:rFonts w:ascii="宋体" w:hAnsi="宋体" w:cs="宋体"/>
          <w:color w:val="auto"/>
          <w:highlight w:val="none"/>
        </w:rPr>
      </w:pPr>
      <w:r>
        <w:rPr>
          <w:rFonts w:hint="eastAsia" w:ascii="宋体" w:hAnsi="宋体" w:cs="宋体"/>
          <w:color w:val="auto"/>
          <w:highlight w:val="none"/>
        </w:rPr>
        <w:t xml:space="preserve"> </w:t>
      </w:r>
      <w:r/>
    </w:p>
    <w:p>
      <w:pPr>
        <w:pStyle w:val="863"/>
        <w:spacing w:before="0" w:beforeAutospacing="0" w:after="0" w:afterAutospacing="0" w:line="440" w:lineRule="exact"/>
        <w:widowControl/>
        <w:rPr>
          <w:rFonts w:ascii="宋体" w:hAnsi="宋体" w:cs="宋体"/>
          <w:color w:val="auto"/>
          <w:highlight w:val="none"/>
        </w:rPr>
      </w:pPr>
      <w:r>
        <w:rPr>
          <w:rFonts w:hint="eastAsia" w:ascii="宋体" w:hAnsi="宋体" w:cs="宋体"/>
          <w:color w:val="auto"/>
          <w:highlight w:val="none"/>
        </w:rPr>
        <w:t xml:space="preserve"> </w:t>
      </w:r>
      <w:r/>
    </w:p>
    <w:p>
      <w:pPr>
        <w:pStyle w:val="863"/>
        <w:jc w:val="center"/>
        <w:spacing w:before="0" w:beforeAutospacing="0" w:after="0" w:afterAutospacing="0" w:line="440" w:lineRule="exact"/>
        <w:widowControl/>
        <w:rPr>
          <w:rFonts w:ascii="宋体" w:hAnsi="宋体" w:cs="宋体"/>
          <w:b/>
          <w:bCs/>
          <w:color w:val="auto"/>
          <w:highlight w:val="none"/>
        </w:rPr>
      </w:pPr>
      <w:r>
        <w:rPr>
          <w:rFonts w:ascii="宋体" w:hAnsi="宋体" w:cs="宋体"/>
          <w:b/>
          <w:bCs/>
          <w:color w:val="auto"/>
          <w:highlight w:val="none"/>
        </w:rPr>
      </w:r>
      <w:r/>
    </w:p>
    <w:p>
      <w:pPr>
        <w:pStyle w:val="863"/>
        <w:jc w:val="center"/>
        <w:spacing w:before="0" w:beforeAutospacing="0" w:after="0" w:afterAutospacing="0" w:line="440" w:lineRule="exact"/>
        <w:widowControl/>
        <w:rPr>
          <w:rFonts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auto"/>
          <w:highlight w:val="none"/>
        </w:rPr>
      </w:r>
      <w:r/>
    </w:p>
    <w:p>
      <w:pPr>
        <w:pStyle w:val="863"/>
        <w:jc w:val="center"/>
        <w:spacing w:before="0" w:beforeAutospacing="0" w:after="0" w:afterAutospacing="0" w:line="440" w:lineRule="exact"/>
        <w:widowControl/>
        <w:rPr>
          <w:rFonts w:ascii="宋体" w:hAnsi="宋体" w:cs="宋体"/>
          <w:b/>
          <w:bCs/>
          <w:color w:val="auto"/>
          <w:highlight w:val="none"/>
        </w:rPr>
      </w:pPr>
      <w:r>
        <w:rPr>
          <w:rFonts w:hint="eastAsia" w:ascii="宋体" w:hAnsi="宋体" w:cs="宋体"/>
          <w:b/>
          <w:bCs/>
          <w:color w:val="auto"/>
          <w:highlight w:val="none"/>
        </w:rPr>
        <w:t xml:space="preserve">投标文件目录</w:t>
      </w:r>
      <w:r/>
    </w:p>
    <w:p>
      <w:pPr>
        <w:ind w:firstLine="56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一、投标人响应承诺函</w:t>
      </w:r>
      <w:r/>
    </w:p>
    <w:p>
      <w:pPr>
        <w:ind w:firstLine="56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二、投标人基本情况</w:t>
      </w:r>
      <w:r/>
    </w:p>
    <w:p>
      <w:pPr>
        <w:ind w:firstLine="56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三、满足特定资格要求的证明文件（如果设置特定资格要求，则需要提供）</w:t>
      </w:r>
      <w:r/>
    </w:p>
    <w:p>
      <w:pPr>
        <w:ind w:firstLine="56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四、法人授权书</w:t>
      </w:r>
      <w:r/>
    </w:p>
    <w:p>
      <w:pPr>
        <w:ind w:firstLine="56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五、开标一览表</w:t>
      </w:r>
      <w:r/>
    </w:p>
    <w:p>
      <w:pPr>
        <w:ind w:firstLine="56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六、投标报价明细表</w:t>
      </w:r>
      <w:r/>
    </w:p>
    <w:p>
      <w:pPr>
        <w:ind w:firstLine="56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七、中小企业声明函及残疾人福利性单位声明函</w:t>
      </w:r>
      <w:r/>
    </w:p>
    <w:p>
      <w:pPr>
        <w:ind w:firstLine="56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八、技术要求响应及偏离表</w:t>
      </w:r>
      <w:r/>
    </w:p>
    <w:p>
      <w:pPr>
        <w:ind w:firstLine="560"/>
        <w:spacing w:line="440" w:lineRule="exact"/>
        <w:rPr>
          <w:rFonts w:ascii="宋体" w:hAnsi="宋体" w:cs="宋体"/>
          <w:color w:val="auto"/>
          <w:sz w:val="24"/>
          <w:highlight w:val="none"/>
        </w:rPr>
      </w:pPr>
      <w:r>
        <w:rPr>
          <w:rFonts w:hint="eastAsia" w:ascii="宋体" w:hAnsi="宋体" w:cs="宋体"/>
          <w:color w:val="auto"/>
          <w:sz w:val="24"/>
          <w:highlight w:val="none"/>
        </w:rPr>
        <w:t xml:space="preserve">九、项目组成员</w:t>
      </w:r>
      <w:r/>
    </w:p>
    <w:p>
      <w:pPr>
        <w:ind w:firstLine="560"/>
        <w:spacing w:line="440" w:lineRule="exact"/>
        <w:rPr>
          <w:rFonts w:ascii="宋体" w:hAnsi="宋体" w:cs="宋体"/>
          <w:color w:val="auto"/>
          <w:sz w:val="24"/>
          <w:highlight w:val="none"/>
        </w:rPr>
      </w:pPr>
      <w:r>
        <w:rPr>
          <w:rFonts w:hint="eastAsia" w:ascii="宋体" w:hAnsi="宋体" w:cs="宋体"/>
          <w:color w:val="auto"/>
          <w:sz w:val="24"/>
          <w:highlight w:val="none"/>
        </w:rPr>
        <w:t xml:space="preserve">十、企业业绩</w:t>
      </w:r>
      <w:r/>
    </w:p>
    <w:p>
      <w:pPr>
        <w:ind w:firstLine="560"/>
        <w:spacing w:line="440" w:lineRule="exact"/>
        <w:rPr>
          <w:rFonts w:ascii="宋体" w:hAnsi="宋体" w:cs="宋体"/>
          <w:color w:val="auto"/>
          <w:sz w:val="24"/>
          <w:highlight w:val="none"/>
        </w:rPr>
      </w:pPr>
      <w:r>
        <w:rPr>
          <w:rFonts w:hint="eastAsia" w:ascii="宋体" w:hAnsi="宋体" w:cs="宋体"/>
          <w:color w:val="auto"/>
          <w:sz w:val="24"/>
          <w:highlight w:val="none"/>
        </w:rPr>
        <w:t xml:space="preserve">十一、项目实施</w:t>
      </w:r>
      <w:r/>
    </w:p>
    <w:p>
      <w:pPr>
        <w:ind w:firstLine="560"/>
        <w:spacing w:line="440" w:lineRule="exact"/>
        <w:rPr>
          <w:rFonts w:ascii="宋体" w:hAnsi="宋体" w:cs="宋体"/>
          <w:color w:val="auto"/>
          <w:sz w:val="24"/>
          <w:highlight w:val="none"/>
        </w:rPr>
      </w:pPr>
      <w:r>
        <w:rPr>
          <w:rFonts w:hint="eastAsia" w:ascii="宋体" w:hAnsi="宋体" w:cs="宋体"/>
          <w:color w:val="auto"/>
          <w:sz w:val="24"/>
          <w:highlight w:val="none"/>
        </w:rPr>
        <w:t xml:space="preserve">十二、服务方案</w:t>
      </w:r>
      <w:r/>
    </w:p>
    <w:p>
      <w:pPr>
        <w:ind w:firstLine="560"/>
        <w:spacing w:line="440" w:lineRule="exact"/>
        <w:rPr>
          <w:rFonts w:ascii="宋体" w:hAnsi="宋体" w:cs="宋体"/>
          <w:color w:val="auto"/>
          <w:sz w:val="24"/>
          <w:highlight w:val="none"/>
        </w:rPr>
      </w:pPr>
      <w:r>
        <w:rPr>
          <w:rFonts w:hint="eastAsia" w:ascii="宋体" w:hAnsi="宋体" w:cs="宋体"/>
          <w:color w:val="auto"/>
          <w:sz w:val="24"/>
          <w:highlight w:val="none"/>
        </w:rPr>
        <w:t xml:space="preserve">十三、投标所需其他材料</w:t>
      </w:r>
      <w:r/>
    </w:p>
    <w:p>
      <w:pPr>
        <w:pStyle w:val="894"/>
        <w:spacing w:before="0" w:after="0" w:line="440" w:lineRule="exact"/>
        <w:rPr>
          <w:rFonts w:cs="宋体"/>
          <w:caps w:val="0"/>
          <w:color w:val="auto"/>
          <w:highlight w:val="none"/>
        </w:rPr>
      </w:pPr>
      <w:r>
        <w:rPr>
          <w:rFonts w:cs="宋体"/>
          <w:caps w:val="0"/>
          <w:color w:val="auto"/>
          <w:highlight w:val="none"/>
        </w:rPr>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pStyle w:val="895"/>
        <w:spacing w:line="440" w:lineRule="exact"/>
        <w:rPr>
          <w:rFonts w:ascii="宋体" w:hAnsi="宋体" w:eastAsia="宋体" w:cs="宋体"/>
          <w:color w:val="auto"/>
          <w:highlight w:val="none"/>
        </w:rPr>
      </w:pPr>
      <w:r/>
      <w:bookmarkStart w:id="123" w:name="_Toc23838"/>
      <w:r/>
      <w:r/>
    </w:p>
    <w:p>
      <w:pPr>
        <w:pStyle w:val="895"/>
        <w:spacing w:line="440" w:lineRule="exact"/>
        <w:rPr>
          <w:rFonts w:ascii="宋体" w:hAnsi="宋体" w:eastAsia="宋体" w:cs="宋体"/>
          <w:color w:val="auto"/>
          <w:highlight w:val="none"/>
        </w:rPr>
      </w:pPr>
      <w:r>
        <w:rPr>
          <w:rFonts w:ascii="宋体" w:hAnsi="宋体" w:eastAsia="宋体" w:cs="宋体"/>
          <w:color w:val="auto"/>
          <w:highlight w:val="none"/>
        </w:rPr>
      </w:r>
      <w:bookmarkEnd w:id="123"/>
      <w:r/>
    </w:p>
    <w:p>
      <w:pPr>
        <w:pStyle w:val="895"/>
        <w:spacing w:line="440" w:lineRule="exact"/>
        <w:rPr>
          <w:rFonts w:ascii="宋体" w:hAnsi="宋体" w:eastAsia="宋体" w:cs="宋体"/>
          <w:color w:val="auto"/>
          <w:highlight w:val="none"/>
        </w:rPr>
      </w:pPr>
      <w:r>
        <w:rPr>
          <w:rFonts w:ascii="宋体" w:hAnsi="宋体" w:eastAsia="宋体" w:cs="宋体"/>
          <w:color w:val="auto"/>
          <w:highlight w:val="none"/>
        </w:rPr>
      </w:r>
      <w:r/>
    </w:p>
    <w:p>
      <w:pPr>
        <w:pStyle w:val="895"/>
        <w:spacing w:line="440" w:lineRule="exact"/>
        <w:rPr>
          <w:rFonts w:ascii="宋体" w:hAnsi="宋体" w:eastAsia="宋体" w:cs="宋体"/>
          <w:color w:val="auto"/>
          <w:highlight w:val="none"/>
        </w:rPr>
      </w:pPr>
      <w:r>
        <w:rPr>
          <w:rFonts w:ascii="宋体" w:hAnsi="宋体" w:eastAsia="宋体" w:cs="宋体"/>
          <w:color w:val="auto"/>
          <w:highlight w:val="none"/>
        </w:rPr>
      </w:r>
      <w:r/>
    </w:p>
    <w:p>
      <w:pPr>
        <w:pStyle w:val="895"/>
        <w:spacing w:line="440" w:lineRule="exact"/>
        <w:rPr>
          <w:rFonts w:ascii="宋体" w:hAnsi="宋体" w:eastAsia="宋体" w:cs="宋体"/>
          <w:color w:val="auto"/>
          <w:highlight w:val="none"/>
        </w:rPr>
      </w:pPr>
      <w:r>
        <w:rPr>
          <w:rFonts w:ascii="宋体" w:hAnsi="宋体" w:eastAsia="宋体" w:cs="宋体"/>
          <w:color w:val="auto"/>
          <w:highlight w:val="none"/>
        </w:rPr>
      </w:r>
      <w:r/>
    </w:p>
    <w:p>
      <w:pPr>
        <w:pStyle w:val="895"/>
        <w:spacing w:line="440" w:lineRule="exact"/>
        <w:rPr>
          <w:rFonts w:ascii="宋体" w:hAnsi="宋体" w:eastAsia="宋体" w:cs="宋体"/>
          <w:color w:val="auto"/>
          <w:highlight w:val="none"/>
        </w:rPr>
      </w:pPr>
      <w:r>
        <w:rPr>
          <w:rFonts w:ascii="宋体" w:hAnsi="宋体" w:eastAsia="宋体" w:cs="宋体"/>
          <w:color w:val="auto"/>
          <w:highlight w:val="none"/>
        </w:rPr>
      </w:r>
      <w:r/>
    </w:p>
    <w:p>
      <w:pPr>
        <w:pStyle w:val="896"/>
        <w:spacing w:line="440" w:lineRule="exact"/>
        <w:rPr>
          <w:rFonts w:ascii="宋体" w:hAnsi="宋体" w:cs="宋体"/>
          <w:b/>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124" w:name="_Toc120614284"/>
      <w:r/>
      <w:r/>
    </w:p>
    <w:p>
      <w:pPr>
        <w:pStyle w:val="896"/>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一、投标声明及承诺函</w:t>
      </w:r>
      <w:r/>
    </w:p>
    <w:p>
      <w:pPr>
        <w:pStyle w:val="896"/>
        <w:jc w:val="left"/>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（采购单位名称）：</w:t>
      </w:r>
      <w:r/>
    </w:p>
    <w:p>
      <w:pPr>
        <w:pStyle w:val="896"/>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根据已收到的项目编号为的项目的招标文件，我方在参加本项目招投标活动中，特做出如下承诺：</w:t>
      </w:r>
      <w:r/>
    </w:p>
    <w:p>
      <w:pPr>
        <w:pStyle w:val="896"/>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一、我方具备《中华人民共和国政府采购法》第二十二条第一款规定的6项条件；</w:t>
      </w:r>
      <w:r/>
    </w:p>
    <w:p>
      <w:pPr>
        <w:pStyle w:val="896"/>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896"/>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三、我方按招标文件要求提交投标文件，响应招标文件规定的投标有效期；</w:t>
      </w:r>
      <w:r/>
    </w:p>
    <w:p>
      <w:pPr>
        <w:pStyle w:val="896"/>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896"/>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896"/>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六、我方同意采购人、采购代理机构将本声明及承诺函上网公开。</w:t>
      </w:r>
      <w:r/>
    </w:p>
    <w:p>
      <w:pPr>
        <w:pStyle w:val="896"/>
        <w:ind w:firstLine="480"/>
        <w:jc w:val="left"/>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896"/>
        <w:jc w:val="left"/>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896"/>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 （加盖CA电子公章）</w:t>
      </w:r>
      <w:r/>
    </w:p>
    <w:p>
      <w:pPr>
        <w:pStyle w:val="896"/>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pStyle w:val="895"/>
        <w:spacing w:line="440" w:lineRule="exact"/>
        <w:rPr>
          <w:rFonts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highlight w:val="none"/>
        </w:rPr>
        <w:t xml:space="preserve">二、投标人基本情况</w:t>
      </w:r>
      <w:r/>
    </w:p>
    <w:p>
      <w:pPr>
        <w:pStyle w:val="877"/>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投标人基本情况表</w:t>
      </w:r>
      <w:r/>
    </w:p>
    <w:tbl>
      <w:tblPr>
        <w:tblStyle w:val="6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tcPr>
          <w:p>
            <w:pPr>
              <w:pStyle w:val="877"/>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w:t>
            </w:r>
            <w:r/>
          </w:p>
        </w:tc>
        <w:tc>
          <w:tcPr>
            <w:gridSpan w:val="3"/>
            <w:tcW w:w="6998" w:type="dxa"/>
            <w:vAlign w:val="center"/>
            <w:textDirection w:val="lrTb"/>
            <w:noWrap/>
          </w:tcPr>
          <w:p>
            <w:pPr>
              <w:pStyle w:val="877"/>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W w:w="1526" w:type="dxa"/>
            <w:vAlign w:val="center"/>
            <w:textDirection w:val="lrTb"/>
            <w:noWrap/>
          </w:tcPr>
          <w:p>
            <w:pPr>
              <w:pStyle w:val="877"/>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p>
        </w:tc>
        <w:tc>
          <w:tcPr>
            <w:tcW w:w="3118" w:type="dxa"/>
            <w:vAlign w:val="center"/>
            <w:textDirection w:val="lrTb"/>
            <w:noWrap/>
          </w:tcPr>
          <w:p>
            <w:pPr>
              <w:pStyle w:val="877"/>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76" w:type="dxa"/>
            <w:vAlign w:val="center"/>
            <w:textDirection w:val="lrTb"/>
            <w:noWrap/>
          </w:tcPr>
          <w:p>
            <w:pPr>
              <w:pStyle w:val="877"/>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注册地区</w:t>
            </w:r>
            <w:r/>
          </w:p>
        </w:tc>
        <w:tc>
          <w:tcPr>
            <w:tcW w:w="2604" w:type="dxa"/>
            <w:vAlign w:val="center"/>
            <w:textDirection w:val="lrTb"/>
            <w:noWrap/>
          </w:tcPr>
          <w:p>
            <w:pPr>
              <w:pStyle w:val="877"/>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W w:w="1526" w:type="dxa"/>
            <w:vAlign w:val="center"/>
            <w:textDirection w:val="lrTb"/>
            <w:noWrap/>
          </w:tcPr>
          <w:p>
            <w:pPr>
              <w:pStyle w:val="877"/>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w:t>
            </w:r>
            <w:r/>
          </w:p>
        </w:tc>
        <w:tc>
          <w:tcPr>
            <w:tcW w:w="3118" w:type="dxa"/>
            <w:vAlign w:val="center"/>
            <w:textDirection w:val="lrTb"/>
            <w:noWrap/>
          </w:tcPr>
          <w:p>
            <w:pPr>
              <w:pStyle w:val="877"/>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76" w:type="dxa"/>
            <w:vAlign w:val="center"/>
            <w:textDirection w:val="lrTb"/>
            <w:noWrap/>
          </w:tcPr>
          <w:p>
            <w:pPr>
              <w:pStyle w:val="877"/>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邮政编码</w:t>
            </w:r>
            <w:r/>
          </w:p>
        </w:tc>
        <w:tc>
          <w:tcPr>
            <w:tcW w:w="2604" w:type="dxa"/>
            <w:vAlign w:val="center"/>
            <w:textDirection w:val="lrTb"/>
            <w:noWrap/>
          </w:tcPr>
          <w:p>
            <w:pPr>
              <w:pStyle w:val="877"/>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W w:w="1526" w:type="dxa"/>
            <w:vAlign w:val="center"/>
            <w:textDirection w:val="lrTb"/>
            <w:noWrap/>
          </w:tcPr>
          <w:p>
            <w:pPr>
              <w:pStyle w:val="877"/>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成立时间</w:t>
            </w:r>
            <w:r/>
          </w:p>
        </w:tc>
        <w:tc>
          <w:tcPr>
            <w:tcW w:w="3118" w:type="dxa"/>
            <w:vAlign w:val="center"/>
            <w:textDirection w:val="lrTb"/>
            <w:noWrap/>
          </w:tcPr>
          <w:p>
            <w:pPr>
              <w:pStyle w:val="877"/>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76" w:type="dxa"/>
            <w:vAlign w:val="center"/>
            <w:textDirection w:val="lrTb"/>
            <w:noWrap/>
          </w:tcPr>
          <w:p>
            <w:pPr>
              <w:pStyle w:val="877"/>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单位性质</w:t>
            </w:r>
            <w:r/>
          </w:p>
        </w:tc>
        <w:tc>
          <w:tcPr>
            <w:tcW w:w="2604" w:type="dxa"/>
            <w:vAlign w:val="center"/>
            <w:textDirection w:val="lrTb"/>
            <w:noWrap/>
          </w:tcPr>
          <w:p>
            <w:pPr>
              <w:pStyle w:val="877"/>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W w:w="1526" w:type="dxa"/>
            <w:vAlign w:val="center"/>
            <w:textDirection w:val="lrTb"/>
            <w:noWrap/>
          </w:tcPr>
          <w:p>
            <w:pPr>
              <w:pStyle w:val="877"/>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注册号或社会信用代码</w:t>
            </w:r>
            <w:r/>
          </w:p>
        </w:tc>
        <w:tc>
          <w:tcPr>
            <w:tcW w:w="3118" w:type="dxa"/>
            <w:vAlign w:val="center"/>
            <w:textDirection w:val="lrTb"/>
            <w:noWrap/>
          </w:tcPr>
          <w:p>
            <w:pPr>
              <w:pStyle w:val="877"/>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76" w:type="dxa"/>
            <w:vAlign w:val="center"/>
            <w:textDirection w:val="lrTb"/>
            <w:noWrap/>
          </w:tcPr>
          <w:p>
            <w:pPr>
              <w:pStyle w:val="877"/>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注册资本（万元）</w:t>
            </w:r>
            <w:r/>
          </w:p>
        </w:tc>
        <w:tc>
          <w:tcPr>
            <w:tcW w:w="2604" w:type="dxa"/>
            <w:vAlign w:val="center"/>
            <w:textDirection w:val="lrTb"/>
            <w:noWrap/>
          </w:tcPr>
          <w:p>
            <w:pPr>
              <w:pStyle w:val="877"/>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W w:w="1526" w:type="dxa"/>
            <w:vAlign w:val="center"/>
            <w:textDirection w:val="lrTb"/>
            <w:noWrap/>
          </w:tcPr>
          <w:p>
            <w:pPr>
              <w:pStyle w:val="877"/>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投标人类别</w:t>
            </w:r>
            <w:r/>
          </w:p>
        </w:tc>
        <w:tc>
          <w:tcPr>
            <w:gridSpan w:val="3"/>
            <w:tcW w:w="6998" w:type="dxa"/>
            <w:vAlign w:val="center"/>
            <w:textDirection w:val="lrTb"/>
            <w:noWrap/>
          </w:tcPr>
          <w:p>
            <w:pPr>
              <w:pStyle w:val="877"/>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W w:w="1526" w:type="dxa"/>
            <w:vAlign w:val="center"/>
            <w:textDirection w:val="lrTb"/>
            <w:noWrap/>
          </w:tcPr>
          <w:p>
            <w:pPr>
              <w:pStyle w:val="877"/>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w:t>
            </w:r>
            <w:r/>
          </w:p>
        </w:tc>
        <w:tc>
          <w:tcPr>
            <w:tcW w:w="3118" w:type="dxa"/>
            <w:vAlign w:val="center"/>
            <w:textDirection w:val="lrTb"/>
            <w:noWrap/>
          </w:tcPr>
          <w:p>
            <w:pPr>
              <w:pStyle w:val="877"/>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76" w:type="dxa"/>
            <w:vAlign w:val="center"/>
            <w:textDirection w:val="lrTb"/>
            <w:noWrap/>
          </w:tcPr>
          <w:p>
            <w:pPr>
              <w:pStyle w:val="877"/>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账号</w:t>
            </w:r>
            <w:r/>
          </w:p>
        </w:tc>
        <w:tc>
          <w:tcPr>
            <w:tcW w:w="2604" w:type="dxa"/>
            <w:vAlign w:val="center"/>
            <w:textDirection w:val="lrTb"/>
            <w:noWrap/>
          </w:tcPr>
          <w:p>
            <w:pPr>
              <w:pStyle w:val="877"/>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W w:w="1526" w:type="dxa"/>
            <w:vAlign w:val="center"/>
            <w:textDirection w:val="lrTb"/>
            <w:noWrap/>
          </w:tcPr>
          <w:p>
            <w:pPr>
              <w:pStyle w:val="877"/>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联系人</w:t>
            </w:r>
            <w:r/>
          </w:p>
        </w:tc>
        <w:tc>
          <w:tcPr>
            <w:tcW w:w="3118" w:type="dxa"/>
            <w:vAlign w:val="center"/>
            <w:textDirection w:val="lrTb"/>
            <w:noWrap/>
          </w:tcPr>
          <w:p>
            <w:pPr>
              <w:pStyle w:val="877"/>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76" w:type="dxa"/>
            <w:vAlign w:val="center"/>
            <w:textDirection w:val="lrTb"/>
            <w:noWrap/>
          </w:tcPr>
          <w:p>
            <w:pPr>
              <w:pStyle w:val="877"/>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tc>
        <w:tc>
          <w:tcPr>
            <w:tcW w:w="2604" w:type="dxa"/>
            <w:vAlign w:val="center"/>
            <w:textDirection w:val="lrTb"/>
            <w:noWrap/>
          </w:tcPr>
          <w:p>
            <w:pPr>
              <w:pStyle w:val="877"/>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1046"/>
        </w:trPr>
        <w:tc>
          <w:tcPr>
            <w:tcW w:w="1526" w:type="dxa"/>
            <w:vAlign w:val="center"/>
            <w:textDirection w:val="lrTb"/>
            <w:noWrap/>
          </w:tcPr>
          <w:p>
            <w:pPr>
              <w:pStyle w:val="877"/>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经营范围</w:t>
            </w:r>
            <w:r/>
          </w:p>
        </w:tc>
        <w:tc>
          <w:tcPr>
            <w:gridSpan w:val="3"/>
            <w:tcW w:w="6998" w:type="dxa"/>
            <w:textDirection w:val="lrTb"/>
            <w:noWrap/>
          </w:tcPr>
          <w:p>
            <w:pPr>
              <w:pStyle w:val="877"/>
              <w:ind w:firstLine="1432"/>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1134"/>
        </w:trPr>
        <w:tc>
          <w:tcPr>
            <w:tcW w:w="1526" w:type="dxa"/>
            <w:vAlign w:val="center"/>
            <w:textDirection w:val="lrTb"/>
            <w:noWrap/>
          </w:tcPr>
          <w:p>
            <w:pPr>
              <w:pStyle w:val="877"/>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c>
          <w:tcPr>
            <w:gridSpan w:val="3"/>
            <w:tcW w:w="6998" w:type="dxa"/>
            <w:vAlign w:val="center"/>
            <w:textDirection w:val="lrTb"/>
            <w:noWrap/>
          </w:tcPr>
          <w:p>
            <w:pPr>
              <w:pStyle w:val="877"/>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附营业执照</w:t>
            </w:r>
            <w:r/>
          </w:p>
        </w:tc>
      </w:tr>
    </w:tbl>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spacing w:line="440" w:lineRule="exact"/>
        <w:rPr>
          <w:rFonts w:ascii="宋体" w:hAnsi="宋体" w:cs="宋体"/>
          <w:i/>
          <w:color w:val="auto"/>
          <w:sz w:val="24"/>
          <w:highlight w:val="none"/>
          <w:u w:val="single"/>
        </w:rPr>
      </w:pPr>
      <w:r>
        <w:rPr>
          <w:rFonts w:hint="eastAsia" w:ascii="宋体" w:hAnsi="宋体" w:cs="宋体"/>
          <w:b/>
          <w:color w:val="auto"/>
          <w:sz w:val="24"/>
          <w:highlight w:val="none"/>
        </w:rPr>
        <w:t xml:space="preserve">三、特定资格要求的证明文件</w:t>
      </w:r>
      <w:r/>
    </w:p>
    <w:p>
      <w:pPr>
        <w:spacing w:line="440" w:lineRule="exact"/>
        <w:rPr>
          <w:rFonts w:ascii="宋体" w:hAnsi="宋体" w:cs="宋体"/>
          <w:bCs/>
          <w:color w:val="auto"/>
          <w:sz w:val="24"/>
          <w:highlight w:val="none"/>
        </w:rPr>
      </w:pPr>
      <w:r>
        <w:rPr>
          <w:rFonts w:hint="eastAsia" w:ascii="宋体" w:hAnsi="宋体" w:cs="宋体"/>
          <w:color w:val="auto"/>
          <w:sz w:val="24"/>
          <w:highlight w:val="none"/>
        </w:rPr>
        <w:t xml:space="preserve">    如果本项目申请人的特定资格要求中要求提供的，必须提供。</w:t>
      </w:r>
      <w:r/>
    </w:p>
    <w:p>
      <w:pPr>
        <w:ind w:firstLine="420"/>
        <w:spacing w:line="440" w:lineRule="exact"/>
        <w:rPr>
          <w:rFonts w:ascii="宋体" w:hAnsi="宋体" w:cs="宋体"/>
          <w:bCs/>
          <w:color w:val="auto"/>
          <w:sz w:val="24"/>
          <w:highlight w:val="none"/>
        </w:rPr>
      </w:pPr>
      <w:r>
        <w:rPr>
          <w:rFonts w:ascii="宋体" w:hAnsi="宋体" w:cs="宋体"/>
          <w:bCs/>
          <w:color w:val="auto"/>
          <w:sz w:val="24"/>
          <w:highlight w:val="none"/>
        </w:rPr>
      </w:r>
      <w:r/>
    </w:p>
    <w:p>
      <w:pPr>
        <w:jc w:val="center"/>
        <w:spacing w:line="440" w:lineRule="exact"/>
        <w:rPr>
          <w:rFonts w:ascii="宋体" w:hAnsi="宋体" w:cs="宋体"/>
          <w:i/>
          <w:color w:val="auto"/>
          <w:sz w:val="24"/>
          <w:highlight w:val="none"/>
          <w:u w:val="single"/>
        </w:rPr>
      </w:pPr>
      <w:r>
        <w:rPr>
          <w:rFonts w:ascii="宋体" w:hAnsi="宋体" w:cs="宋体"/>
          <w:i/>
          <w:color w:val="auto"/>
          <w:sz w:val="24"/>
          <w:highlight w:val="none"/>
          <w:u w:val="single"/>
        </w:rPr>
      </w:r>
      <w:r/>
    </w:p>
    <w:p>
      <w:pPr>
        <w:jc w:val="center"/>
        <w:spacing w:line="440" w:lineRule="exact"/>
        <w:rPr>
          <w:rFonts w:ascii="宋体" w:hAnsi="宋体" w:cs="宋体"/>
          <w:i/>
          <w:color w:val="auto"/>
          <w:sz w:val="24"/>
          <w:highlight w:val="none"/>
          <w:u w:val="single"/>
        </w:rPr>
      </w:pPr>
      <w:r>
        <w:rPr>
          <w:rFonts w:ascii="宋体" w:hAnsi="宋体" w:cs="宋体"/>
          <w:i/>
          <w:color w:val="auto"/>
          <w:sz w:val="24"/>
          <w:highlight w:val="none"/>
          <w:u w:val="single"/>
        </w:rPr>
      </w:r>
      <w:r/>
    </w:p>
    <w:p>
      <w:pPr>
        <w:jc w:val="center"/>
        <w:spacing w:line="440" w:lineRule="exact"/>
        <w:rPr>
          <w:rFonts w:ascii="宋体" w:hAnsi="宋体" w:cs="宋体"/>
          <w:i/>
          <w:color w:val="auto"/>
          <w:sz w:val="24"/>
          <w:highlight w:val="none"/>
          <w:u w:val="single"/>
        </w:rPr>
      </w:pPr>
      <w:r>
        <w:rPr>
          <w:rFonts w:ascii="宋体" w:hAnsi="宋体" w:cs="宋体"/>
          <w:i/>
          <w:color w:val="auto"/>
          <w:sz w:val="24"/>
          <w:highlight w:val="none"/>
          <w:u w:val="single"/>
        </w:rPr>
      </w:r>
      <w:r/>
    </w:p>
    <w:p>
      <w:pPr>
        <w:jc w:val="center"/>
        <w:spacing w:line="440" w:lineRule="exact"/>
        <w:rPr>
          <w:rFonts w:ascii="宋体" w:hAnsi="宋体" w:cs="宋体"/>
          <w:i/>
          <w:color w:val="auto"/>
          <w:sz w:val="24"/>
          <w:highlight w:val="none"/>
          <w:u w:val="single"/>
        </w:rPr>
      </w:pPr>
      <w:r>
        <w:rPr>
          <w:rFonts w:ascii="宋体" w:hAnsi="宋体" w:cs="宋体"/>
          <w:i/>
          <w:color w:val="auto"/>
          <w:sz w:val="24"/>
          <w:highlight w:val="none"/>
          <w:u w:val="single"/>
        </w:rPr>
      </w:r>
      <w:r/>
    </w:p>
    <w:p>
      <w:pPr>
        <w:jc w:val="center"/>
        <w:spacing w:line="440" w:lineRule="exact"/>
        <w:rPr>
          <w:rFonts w:ascii="宋体" w:hAnsi="宋体" w:cs="宋体"/>
          <w:i/>
          <w:color w:val="auto"/>
          <w:sz w:val="24"/>
          <w:highlight w:val="none"/>
          <w:u w:val="single"/>
        </w:rPr>
      </w:pPr>
      <w:r>
        <w:rPr>
          <w:rFonts w:ascii="宋体" w:hAnsi="宋体" w:cs="宋体"/>
          <w:i/>
          <w:color w:val="auto"/>
          <w:sz w:val="24"/>
          <w:highlight w:val="none"/>
          <w:u w:val="single"/>
        </w:rPr>
      </w:r>
      <w:r/>
    </w:p>
    <w:p>
      <w:pPr>
        <w:jc w:val="center"/>
        <w:spacing w:line="440" w:lineRule="exact"/>
        <w:rPr>
          <w:rFonts w:ascii="宋体" w:hAnsi="宋体" w:cs="宋体"/>
          <w:i/>
          <w:color w:val="auto"/>
          <w:sz w:val="24"/>
          <w:highlight w:val="none"/>
          <w:u w:val="single"/>
        </w:rPr>
      </w:pPr>
      <w:r>
        <w:rPr>
          <w:rFonts w:ascii="宋体" w:hAnsi="宋体" w:cs="宋体"/>
          <w:i/>
          <w:color w:val="auto"/>
          <w:sz w:val="24"/>
          <w:highlight w:val="none"/>
          <w:u w:val="single"/>
        </w:rPr>
      </w:r>
      <w:r/>
    </w:p>
    <w:p>
      <w:pPr>
        <w:jc w:val="center"/>
        <w:spacing w:line="440" w:lineRule="exact"/>
        <w:rPr>
          <w:rFonts w:ascii="宋体" w:hAnsi="宋体" w:cs="宋体"/>
          <w:i/>
          <w:color w:val="auto"/>
          <w:sz w:val="24"/>
          <w:highlight w:val="none"/>
          <w:u w:val="single"/>
        </w:rPr>
      </w:pPr>
      <w:r>
        <w:rPr>
          <w:rFonts w:ascii="宋体" w:hAnsi="宋体" w:cs="宋体"/>
          <w:i/>
          <w:color w:val="auto"/>
          <w:sz w:val="24"/>
          <w:highlight w:val="none"/>
          <w:u w:val="single"/>
        </w:rPr>
      </w:r>
      <w:r/>
    </w:p>
    <w:p>
      <w:pPr>
        <w:jc w:val="center"/>
        <w:spacing w:line="440" w:lineRule="exact"/>
        <w:rPr>
          <w:rFonts w:ascii="宋体" w:hAnsi="宋体" w:cs="宋体"/>
          <w:i/>
          <w:color w:val="auto"/>
          <w:sz w:val="24"/>
          <w:highlight w:val="none"/>
          <w:u w:val="single"/>
        </w:rPr>
      </w:pPr>
      <w:r>
        <w:rPr>
          <w:rFonts w:ascii="宋体" w:hAnsi="宋体" w:cs="宋体"/>
          <w:i/>
          <w:color w:val="auto"/>
          <w:sz w:val="24"/>
          <w:highlight w:val="none"/>
          <w:u w:val="single"/>
        </w:rPr>
      </w:r>
      <w:r/>
    </w:p>
    <w:p>
      <w:pPr>
        <w:jc w:val="center"/>
        <w:spacing w:line="440" w:lineRule="exact"/>
        <w:rPr>
          <w:rFonts w:ascii="宋体" w:hAnsi="宋体" w:cs="宋体"/>
          <w:i/>
          <w:color w:val="auto"/>
          <w:sz w:val="24"/>
          <w:highlight w:val="none"/>
          <w:u w:val="single"/>
        </w:rPr>
      </w:pPr>
      <w:r>
        <w:rPr>
          <w:rFonts w:ascii="宋体" w:hAnsi="宋体" w:cs="宋体"/>
          <w:i/>
          <w:color w:val="auto"/>
          <w:sz w:val="24"/>
          <w:highlight w:val="none"/>
          <w:u w:val="single"/>
        </w:rPr>
      </w:r>
      <w:r/>
    </w:p>
    <w:p>
      <w:pPr>
        <w:jc w:val="center"/>
        <w:spacing w:line="440" w:lineRule="exact"/>
        <w:rPr>
          <w:rFonts w:ascii="宋体" w:hAnsi="宋体" w:cs="宋体"/>
          <w:i/>
          <w:color w:val="auto"/>
          <w:sz w:val="24"/>
          <w:highlight w:val="none"/>
          <w:u w:val="single"/>
        </w:rPr>
      </w:pPr>
      <w:r>
        <w:rPr>
          <w:rFonts w:ascii="宋体" w:hAnsi="宋体" w:cs="宋体"/>
          <w:i/>
          <w:color w:val="auto"/>
          <w:sz w:val="24"/>
          <w:highlight w:val="none"/>
          <w:u w:val="single"/>
        </w:rPr>
      </w:r>
      <w:r/>
    </w:p>
    <w:p>
      <w:pPr>
        <w:jc w:val="center"/>
        <w:spacing w:line="440" w:lineRule="exact"/>
        <w:rPr>
          <w:rFonts w:ascii="宋体" w:hAnsi="宋体" w:cs="宋体"/>
          <w:i/>
          <w:color w:val="auto"/>
          <w:sz w:val="24"/>
          <w:highlight w:val="none"/>
          <w:u w:val="single"/>
        </w:rPr>
      </w:pPr>
      <w:r>
        <w:rPr>
          <w:rFonts w:ascii="宋体" w:hAnsi="宋体" w:cs="宋体"/>
          <w:i/>
          <w:color w:val="auto"/>
          <w:sz w:val="24"/>
          <w:highlight w:val="none"/>
          <w:u w:val="single"/>
        </w:rPr>
      </w:r>
      <w:r/>
    </w:p>
    <w:p>
      <w:pPr>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四、法人授权书</w:t>
      </w:r>
      <w:r/>
    </w:p>
    <w:p>
      <w:pPr>
        <w:pStyle w:val="899"/>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本授权书声明：____________（投标人名称）授权________________（被授权人的姓名）为我方就JSZC-号项目采购活动的合法代理人，以本单位名义全权处理一切与该项目采购有关的事务。</w:t>
      </w:r>
      <w:r/>
    </w:p>
    <w:p>
      <w:pPr>
        <w:pStyle w:val="899"/>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本授权书于______年____月____日起生效，特此声明。</w:t>
      </w:r>
      <w:r/>
    </w:p>
    <w:p>
      <w:pPr>
        <w:pStyle w:val="899"/>
        <w:ind w:firstLine="0"/>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被授权人身份证号码：</w:t>
      </w:r>
      <w:r/>
    </w:p>
    <w:p>
      <w:pPr>
        <w:pStyle w:val="899"/>
        <w:ind w:firstLine="0"/>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被授权人联系电话：（手机）</w:t>
      </w:r>
      <w:r/>
    </w:p>
    <w:p>
      <w:pPr>
        <w:pStyle w:val="899"/>
        <w:ind w:firstLine="120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授权单位名称：</w:t>
      </w:r>
      <w:r>
        <w:rPr>
          <w:rFonts w:hint="eastAsia" w:ascii="宋体" w:hAnsi="宋体" w:cs="宋体"/>
          <w:color w:val="auto"/>
          <w:sz w:val="24"/>
          <w:szCs w:val="24"/>
          <w:highlight w:val="none"/>
          <w:u w:val="single"/>
        </w:rPr>
        <w:t xml:space="preserve">（加盖CA电子公章）</w:t>
      </w:r>
      <w:r/>
    </w:p>
    <w:p>
      <w:pPr>
        <w:pStyle w:val="899"/>
        <w:ind w:firstLine="480"/>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      单位地址：</w:t>
      </w:r>
      <w:r/>
    </w:p>
    <w:p>
      <w:pPr>
        <w:pStyle w:val="899"/>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日期：</w:t>
      </w:r>
      <w:bookmarkStart w:id="125" w:name="_Hlt26955070"/>
      <w:r/>
      <w:bookmarkEnd w:id="125"/>
      <w:r/>
      <w:bookmarkStart w:id="126" w:name="_格式3__银行出具的资信证明"/>
      <w:r/>
      <w:bookmarkEnd w:id="126"/>
      <w:r/>
      <w:bookmarkStart w:id="127" w:name="_Hlt26671380"/>
      <w:r/>
      <w:bookmarkEnd w:id="127"/>
      <w:r/>
      <w:r/>
    </w:p>
    <w:p>
      <w:pPr>
        <w:spacing w:line="480" w:lineRule="exact"/>
        <w:rPr>
          <w:rFonts w:ascii="宋体" w:hAnsi="宋体" w:cs="宋体"/>
          <w:color w:val="auto"/>
          <w:sz w:val="24"/>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cs="宋体"/>
          <w:color w:val="auto"/>
          <w:sz w:val="24"/>
          <w:highlight w:val="none"/>
        </w:rPr>
        <w:t xml:space="preserve">（附双方身份证证明资料）</w:t>
      </w:r>
      <w:r/>
    </w:p>
    <w:p>
      <w:pPr>
        <w:spacing w:line="440" w:lineRule="exact"/>
        <w:rPr>
          <w:rFonts w:ascii="宋体" w:hAnsi="宋体" w:cs="宋体"/>
          <w:color w:val="auto"/>
          <w:sz w:val="24"/>
          <w:highlight w:val="none"/>
        </w:rPr>
      </w:pPr>
      <w:r>
        <w:rPr>
          <w:rFonts w:hint="eastAsia" w:ascii="宋体" w:hAnsi="宋体" w:cs="宋体"/>
          <w:b/>
          <w:i/>
          <w:color w:val="auto"/>
          <w:sz w:val="24"/>
          <w:highlight w:val="none"/>
          <w:u w:val="single"/>
        </w:rPr>
        <w:t xml:space="preserve">五、开标一览表</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投标人全称（加盖CA电子签章）：</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项目名称：</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招标编号：                                 </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tbl>
      <w:tblPr>
        <w:tblStyle w:val="6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tcPr>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                      投标总报价</w:t>
            </w:r>
            <w:r/>
          </w:p>
        </w:tc>
      </w:tr>
      <w:tr>
        <w:trPr>
          <w:cantSplit/>
          <w:jc w:val="center"/>
          <w:trHeight w:val="612"/>
        </w:trPr>
        <w:tc>
          <w:tcPr>
            <w:tcW w:w="8206" w:type="dxa"/>
            <w:vAlign w:val="center"/>
            <w:textDirection w:val="lrTb"/>
            <w:noWrap/>
          </w:tcPr>
          <w:p>
            <w:pPr>
              <w:pStyle w:val="900"/>
              <w:ind w:firstLine="0"/>
              <w:spacing w:before="0" w:after="0" w:line="440" w:lineRule="exact"/>
              <w:rPr>
                <w:rFonts w:ascii="宋体" w:hAnsi="宋体" w:cs="宋体"/>
                <w:color w:val="auto"/>
                <w:highlight w:val="none"/>
              </w:rPr>
            </w:pPr>
            <w:r>
              <w:rPr>
                <w:rFonts w:hint="eastAsia" w:ascii="宋体" w:hAnsi="宋体" w:cs="宋体"/>
                <w:color w:val="auto"/>
                <w:highlight w:val="none"/>
              </w:rPr>
              <w:t xml:space="preserve">小写：                             （人民币：元）</w:t>
            </w:r>
            <w:r/>
          </w:p>
        </w:tc>
      </w:tr>
    </w:tbl>
    <w:p>
      <w:pPr>
        <w:spacing w:line="440" w:lineRule="exact"/>
        <w:rPr>
          <w:rFonts w:ascii="宋体" w:hAnsi="宋体" w:cs="宋体"/>
          <w:color w:val="auto"/>
          <w:sz w:val="24"/>
          <w:highlight w:val="none"/>
        </w:rPr>
      </w:pPr>
      <w:r>
        <w:rPr>
          <w:rFonts w:ascii="宋体" w:hAnsi="宋体" w:cs="宋体"/>
          <w:color w:val="auto"/>
          <w:sz w:val="24"/>
          <w:highlight w:val="none"/>
        </w:rPr>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                                日期：年月日</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jc w:val="center"/>
        <w:spacing w:line="440" w:lineRule="exact"/>
        <w:rPr>
          <w:rFonts w:ascii="宋体" w:hAnsi="宋体" w:cs="宋体"/>
          <w:b/>
          <w:bCs/>
          <w:color w:val="auto"/>
          <w:sz w:val="24"/>
          <w:highlight w:val="none"/>
        </w:rPr>
      </w:pPr>
      <w:r>
        <w:rPr>
          <w:rFonts w:ascii="宋体" w:hAnsi="宋体" w:cs="宋体"/>
          <w:b/>
          <w:bCs/>
          <w:color w:val="auto"/>
          <w:sz w:val="24"/>
          <w:highlight w:val="none"/>
        </w:rPr>
      </w:r>
      <w:r/>
    </w:p>
    <w:p>
      <w:pPr>
        <w:pStyle w:val="900"/>
        <w:spacing w:before="0" w:after="0" w:line="440" w:lineRule="exact"/>
        <w:rPr>
          <w:rFonts w:ascii="宋体" w:hAnsi="宋体" w:cs="宋体"/>
          <w:color w:val="auto"/>
          <w:highlight w:val="none"/>
        </w:rPr>
      </w:pPr>
      <w:r>
        <w:rPr>
          <w:rFonts w:ascii="宋体" w:hAnsi="宋体" w:cs="宋体"/>
          <w:color w:val="auto"/>
          <w:highlight w:val="none"/>
        </w:rPr>
      </w:r>
      <w:r/>
    </w:p>
    <w:p>
      <w:pPr>
        <w:jc w:val="center"/>
        <w:spacing w:line="440" w:lineRule="exact"/>
        <w:rPr>
          <w:rFonts w:ascii="宋体" w:hAnsi="宋体" w:cs="宋体"/>
          <w:bCs/>
          <w:color w:val="auto"/>
          <w:sz w:val="24"/>
          <w:highlight w:val="none"/>
        </w:rPr>
      </w:pPr>
      <w:r>
        <w:rPr>
          <w:rFonts w:ascii="宋体" w:hAnsi="宋体" w:cs="宋体"/>
          <w:bCs/>
          <w:color w:val="auto"/>
          <w:sz w:val="24"/>
          <w:highlight w:val="none"/>
        </w:rPr>
      </w:r>
      <w:r/>
    </w:p>
    <w:p>
      <w:pPr>
        <w:jc w:val="center"/>
        <w:spacing w:line="440" w:lineRule="exact"/>
        <w:rPr>
          <w:rFonts w:ascii="宋体" w:hAnsi="宋体" w:cs="宋体"/>
          <w:bCs/>
          <w:color w:val="auto"/>
          <w:sz w:val="24"/>
          <w:highlight w:val="none"/>
        </w:rPr>
      </w:pPr>
      <w:r>
        <w:rPr>
          <w:rFonts w:ascii="宋体" w:hAnsi="宋体" w:cs="宋体"/>
          <w:bCs/>
          <w:color w:val="auto"/>
          <w:sz w:val="24"/>
          <w:highlight w:val="none"/>
        </w:rPr>
      </w:r>
      <w:r/>
    </w:p>
    <w:p>
      <w:pPr>
        <w:jc w:val="center"/>
        <w:spacing w:line="440" w:lineRule="exact"/>
        <w:rPr>
          <w:rFonts w:ascii="宋体" w:hAnsi="宋体" w:cs="宋体"/>
          <w:bCs/>
          <w:color w:val="auto"/>
          <w:sz w:val="24"/>
          <w:highlight w:val="none"/>
        </w:rPr>
      </w:pPr>
      <w:r>
        <w:rPr>
          <w:rFonts w:ascii="宋体" w:hAnsi="宋体" w:cs="宋体"/>
          <w:bCs/>
          <w:color w:val="auto"/>
          <w:sz w:val="24"/>
          <w:highlight w:val="none"/>
        </w:rPr>
      </w:r>
      <w:r/>
    </w:p>
    <w:p>
      <w:pPr>
        <w:jc w:val="center"/>
        <w:spacing w:line="440" w:lineRule="exact"/>
        <w:rPr>
          <w:rFonts w:ascii="宋体" w:hAnsi="宋体" w:cs="宋体"/>
          <w:bCs/>
          <w:color w:val="auto"/>
          <w:sz w:val="24"/>
          <w:highlight w:val="none"/>
        </w:rPr>
      </w:pPr>
      <w:r>
        <w:rPr>
          <w:rFonts w:ascii="宋体" w:hAnsi="宋体" w:cs="宋体"/>
          <w:bCs/>
          <w:color w:val="auto"/>
          <w:sz w:val="24"/>
          <w:highlight w:val="none"/>
        </w:rPr>
      </w:r>
      <w:r/>
    </w:p>
    <w:p>
      <w:pPr>
        <w:jc w:val="center"/>
        <w:spacing w:line="440" w:lineRule="exact"/>
        <w:rPr>
          <w:rFonts w:ascii="宋体" w:hAnsi="宋体" w:cs="宋体"/>
          <w:bCs/>
          <w:color w:val="auto"/>
          <w:sz w:val="24"/>
          <w:highlight w:val="none"/>
        </w:rPr>
      </w:pPr>
      <w:r>
        <w:rPr>
          <w:rFonts w:ascii="宋体" w:hAnsi="宋体" w:cs="宋体"/>
          <w:bCs/>
          <w:color w:val="auto"/>
          <w:sz w:val="24"/>
          <w:highlight w:val="none"/>
        </w:rPr>
      </w:r>
      <w:r/>
    </w:p>
    <w:p>
      <w:pPr>
        <w:jc w:val="center"/>
        <w:spacing w:line="440" w:lineRule="exact"/>
        <w:rPr>
          <w:rFonts w:ascii="宋体" w:hAnsi="宋体" w:cs="宋体"/>
          <w:bCs/>
          <w:color w:val="auto"/>
          <w:sz w:val="24"/>
          <w:highlight w:val="none"/>
        </w:rPr>
      </w:pPr>
      <w:r>
        <w:rPr>
          <w:rFonts w:ascii="宋体" w:hAnsi="宋体" w:cs="宋体"/>
          <w:bCs/>
          <w:color w:val="auto"/>
          <w:sz w:val="24"/>
          <w:highlight w:val="none"/>
        </w:rPr>
      </w:r>
      <w:r/>
    </w:p>
    <w:p>
      <w:pPr>
        <w:jc w:val="center"/>
        <w:spacing w:line="440" w:lineRule="exact"/>
        <w:rPr>
          <w:rFonts w:ascii="宋体" w:hAnsi="宋体" w:cs="宋体"/>
          <w:bCs/>
          <w:color w:val="auto"/>
          <w:sz w:val="24"/>
          <w:highlight w:val="none"/>
        </w:rPr>
      </w:pPr>
      <w:r>
        <w:rPr>
          <w:rFonts w:ascii="宋体" w:hAnsi="宋体" w:cs="宋体"/>
          <w:bCs/>
          <w:color w:val="auto"/>
          <w:sz w:val="24"/>
          <w:highlight w:val="none"/>
        </w:rPr>
      </w:r>
      <w:r/>
    </w:p>
    <w:p>
      <w:pPr>
        <w:jc w:val="center"/>
        <w:spacing w:line="440" w:lineRule="exact"/>
        <w:rPr>
          <w:rFonts w:ascii="宋体" w:hAnsi="宋体" w:cs="宋体"/>
          <w:bCs/>
          <w:color w:val="auto"/>
          <w:sz w:val="24"/>
          <w:highlight w:val="none"/>
        </w:rPr>
      </w:pPr>
      <w:r>
        <w:rPr>
          <w:rFonts w:ascii="宋体" w:hAnsi="宋体" w:cs="宋体"/>
          <w:bCs/>
          <w:color w:val="auto"/>
          <w:sz w:val="24"/>
          <w:highlight w:val="none"/>
        </w:rPr>
      </w:r>
      <w:r/>
    </w:p>
    <w:p>
      <w:pPr>
        <w:jc w:val="center"/>
        <w:spacing w:line="440" w:lineRule="exact"/>
        <w:rPr>
          <w:rFonts w:ascii="宋体" w:hAnsi="宋体" w:cs="宋体"/>
          <w:bCs/>
          <w:color w:val="auto"/>
          <w:sz w:val="24"/>
          <w:highlight w:val="none"/>
        </w:rPr>
      </w:pPr>
      <w:r>
        <w:rPr>
          <w:rFonts w:ascii="宋体" w:hAnsi="宋体" w:cs="宋体"/>
          <w:bCs/>
          <w:color w:val="auto"/>
          <w:sz w:val="24"/>
          <w:highlight w:val="none"/>
        </w:rPr>
      </w:r>
      <w:r/>
    </w:p>
    <w:p>
      <w:pPr>
        <w:jc w:val="center"/>
        <w:spacing w:line="440" w:lineRule="exact"/>
        <w:rPr>
          <w:rFonts w:ascii="宋体" w:hAnsi="宋体" w:cs="宋体"/>
          <w:bCs/>
          <w:color w:val="auto"/>
          <w:sz w:val="24"/>
          <w:highlight w:val="none"/>
        </w:rPr>
      </w:pPr>
      <w:r>
        <w:rPr>
          <w:rFonts w:ascii="宋体" w:hAnsi="宋体" w:cs="宋体"/>
          <w:bCs/>
          <w:color w:val="auto"/>
          <w:sz w:val="24"/>
          <w:highlight w:val="none"/>
        </w:rPr>
      </w:r>
      <w:r/>
    </w:p>
    <w:p>
      <w:pPr>
        <w:jc w:val="center"/>
        <w:spacing w:line="440" w:lineRule="exact"/>
        <w:rPr>
          <w:rFonts w:ascii="宋体" w:hAnsi="宋体" w:cs="宋体"/>
          <w:bCs/>
          <w:color w:val="auto"/>
          <w:sz w:val="24"/>
          <w:highlight w:val="none"/>
        </w:rPr>
      </w:pPr>
      <w:r>
        <w:rPr>
          <w:rFonts w:ascii="宋体" w:hAnsi="宋体" w:cs="宋体"/>
          <w:bCs/>
          <w:color w:val="auto"/>
          <w:sz w:val="24"/>
          <w:highlight w:val="none"/>
        </w:rPr>
      </w:r>
      <w:r/>
    </w:p>
    <w:p>
      <w:pPr>
        <w:jc w:val="center"/>
        <w:spacing w:line="440" w:lineRule="exact"/>
        <w:rPr>
          <w:rFonts w:ascii="宋体" w:hAnsi="宋体" w:cs="宋体"/>
          <w:bCs/>
          <w:color w:val="auto"/>
          <w:sz w:val="24"/>
          <w:highlight w:val="none"/>
        </w:rPr>
      </w:pPr>
      <w:r>
        <w:rPr>
          <w:rFonts w:ascii="宋体" w:hAnsi="宋体" w:cs="宋体"/>
          <w:bCs/>
          <w:color w:val="auto"/>
          <w:sz w:val="24"/>
          <w:highlight w:val="none"/>
        </w:rPr>
      </w:r>
      <w:r/>
    </w:p>
    <w:p>
      <w:pPr>
        <w:jc w:val="center"/>
        <w:spacing w:line="440" w:lineRule="exact"/>
        <w:rPr>
          <w:rFonts w:ascii="宋体" w:hAnsi="宋体" w:cs="宋体"/>
          <w:bCs/>
          <w:color w:val="auto"/>
          <w:sz w:val="24"/>
          <w:highlight w:val="none"/>
        </w:rPr>
      </w:pPr>
      <w:r>
        <w:rPr>
          <w:rFonts w:ascii="宋体" w:hAnsi="宋体" w:cs="宋体"/>
          <w:bCs/>
          <w:color w:val="auto"/>
          <w:sz w:val="24"/>
          <w:highlight w:val="none"/>
        </w:rPr>
      </w:r>
      <w:r/>
    </w:p>
    <w:p>
      <w:pPr>
        <w:jc w:val="center"/>
        <w:spacing w:line="440" w:lineRule="exact"/>
        <w:rPr>
          <w:rFonts w:ascii="宋体" w:hAnsi="宋体" w:cs="宋体"/>
          <w:bCs/>
          <w:color w:val="auto"/>
          <w:sz w:val="24"/>
          <w:highlight w:val="none"/>
        </w:rPr>
      </w:pPr>
      <w:r>
        <w:rPr>
          <w:rFonts w:ascii="宋体" w:hAnsi="宋体" w:cs="宋体"/>
          <w:bCs/>
          <w:color w:val="auto"/>
          <w:sz w:val="24"/>
          <w:highlight w:val="none"/>
        </w:rPr>
      </w:r>
      <w:r/>
    </w:p>
    <w:p>
      <w:pPr>
        <w:jc w:val="center"/>
        <w:spacing w:line="440" w:lineRule="exact"/>
        <w:rPr>
          <w:rFonts w:ascii="宋体" w:hAnsi="宋体" w:cs="宋体"/>
          <w:bCs/>
          <w:color w:val="auto"/>
          <w:sz w:val="24"/>
          <w:highlight w:val="none"/>
        </w:rPr>
      </w:pPr>
      <w:r>
        <w:rPr>
          <w:rFonts w:ascii="宋体" w:hAnsi="宋体" w:cs="宋体"/>
          <w:bCs/>
          <w:color w:val="auto"/>
          <w:sz w:val="24"/>
          <w:highlight w:val="none"/>
        </w:rPr>
      </w:r>
      <w:r/>
    </w:p>
    <w:p>
      <w:pPr>
        <w:spacing w:line="440" w:lineRule="exact"/>
        <w:rPr>
          <w:rFonts w:ascii="宋体" w:hAnsi="宋体" w:cs="宋体"/>
          <w:bCs/>
          <w:color w:val="auto"/>
          <w:sz w:val="24"/>
          <w:highlight w:val="none"/>
        </w:rPr>
      </w:pPr>
      <w:r>
        <w:rPr>
          <w:rFonts w:ascii="宋体" w:hAnsi="宋体" w:cs="宋体"/>
          <w:bCs/>
          <w:color w:val="auto"/>
          <w:sz w:val="24"/>
          <w:highlight w:val="none"/>
        </w:rPr>
      </w:r>
      <w:r/>
    </w:p>
    <w:p>
      <w:pPr>
        <w:numPr>
          <w:ilvl w:val="0"/>
          <w:numId w:val="3"/>
        </w:numPr>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投标报价明细表</w:t>
      </w:r>
      <w:r/>
    </w:p>
    <w:p>
      <w:pPr>
        <w:jc w:val="center"/>
        <w:spacing w:line="440" w:lineRule="exact"/>
        <w:rPr>
          <w:rFonts w:ascii="宋体" w:hAnsi="宋体" w:cs="宋体"/>
          <w:b/>
          <w:color w:val="auto"/>
          <w:sz w:val="24"/>
          <w:highlight w:val="none"/>
        </w:rPr>
      </w:pPr>
      <w:r>
        <w:rPr>
          <w:rFonts w:ascii="宋体" w:hAnsi="宋体" w:cs="宋体"/>
          <w:b/>
          <w:color w:val="auto"/>
          <w:sz w:val="24"/>
          <w:highlight w:val="none"/>
        </w:rPr>
      </w:r>
      <w:r/>
    </w:p>
    <w:p>
      <w:pPr>
        <w:jc w:val="center"/>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分项报价表</w:t>
      </w:r>
      <w:r/>
    </w:p>
    <w:p>
      <w:pPr>
        <w:jc w:val="center"/>
        <w:spacing w:line="440" w:lineRule="exact"/>
        <w:rPr>
          <w:rFonts w:ascii="宋体" w:hAnsi="宋体" w:cs="宋体"/>
          <w:b/>
          <w:color w:val="auto"/>
          <w:sz w:val="24"/>
          <w:highlight w:val="none"/>
        </w:rPr>
      </w:pPr>
      <w:r>
        <w:rPr>
          <w:rFonts w:ascii="宋体" w:hAnsi="宋体" w:cs="宋体"/>
          <w:b/>
          <w:color w:val="auto"/>
          <w:sz w:val="24"/>
          <w:highlight w:val="none"/>
        </w:rPr>
      </w:r>
      <w:r/>
    </w:p>
    <w:tbl>
      <w:tblPr>
        <w:tblStyle w:val="661"/>
        <w:tblW w:w="9876"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728"/>
        <w:gridCol w:w="728"/>
        <w:gridCol w:w="738"/>
        <w:gridCol w:w="796"/>
        <w:gridCol w:w="1016"/>
        <w:gridCol w:w="761"/>
        <w:gridCol w:w="1315"/>
        <w:gridCol w:w="797"/>
        <w:gridCol w:w="703"/>
        <w:gridCol w:w="820"/>
        <w:gridCol w:w="750"/>
      </w:tblGrid>
      <w:tr>
        <w:trPr>
          <w:cantSplit/>
          <w:trHeight w:val="294"/>
        </w:trPr>
        <w:tc>
          <w:tcPr>
            <w:tcW w:w="724" w:type="dxa"/>
            <w:vAlign w:val="center"/>
            <w:textDirection w:val="lrTb"/>
            <w:noWrap/>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序号</w:t>
            </w:r>
            <w:r/>
          </w:p>
        </w:tc>
        <w:tc>
          <w:tcPr>
            <w:tcW w:w="728" w:type="dxa"/>
            <w:vAlign w:val="center"/>
            <w:textDirection w:val="lrTb"/>
            <w:noWrap/>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名称</w:t>
            </w:r>
            <w:r/>
          </w:p>
        </w:tc>
        <w:tc>
          <w:tcPr>
            <w:tcW w:w="728" w:type="dxa"/>
            <w:vAlign w:val="center"/>
            <w:textDirection w:val="lrTb"/>
            <w:noWrap/>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品牌</w:t>
            </w:r>
            <w:r/>
          </w:p>
        </w:tc>
        <w:tc>
          <w:tcPr>
            <w:tcW w:w="738"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型号</w:t>
            </w:r>
            <w:r/>
          </w:p>
          <w:p>
            <w:pPr>
              <w:jc w:val="center"/>
              <w:spacing w:line="0" w:lineRule="atLeast"/>
              <w:rPr>
                <w:rFonts w:ascii="宋体" w:hAnsi="宋体"/>
                <w:color w:val="auto"/>
                <w:sz w:val="24"/>
                <w:highlight w:val="none"/>
              </w:rPr>
            </w:pPr>
            <w:r>
              <w:rPr>
                <w:rFonts w:ascii="宋体" w:hAnsi="宋体"/>
                <w:color w:val="auto"/>
                <w:sz w:val="24"/>
                <w:highlight w:val="none"/>
              </w:rPr>
            </w:r>
            <w:r/>
          </w:p>
        </w:tc>
        <w:tc>
          <w:tcPr>
            <w:tcW w:w="796" w:type="dxa"/>
            <w:vAlign w:val="center"/>
            <w:textDirection w:val="lrTb"/>
            <w:noWrap/>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规格</w:t>
            </w:r>
            <w:r/>
          </w:p>
        </w:tc>
        <w:tc>
          <w:tcPr>
            <w:tcW w:w="1016" w:type="dxa"/>
            <w:vAlign w:val="center"/>
            <w:textDirection w:val="lrTb"/>
            <w:noWrap/>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制造商名称</w:t>
            </w:r>
            <w:r/>
          </w:p>
        </w:tc>
        <w:tc>
          <w:tcPr>
            <w:tcW w:w="761" w:type="dxa"/>
            <w:vAlign w:val="center"/>
            <w:textDirection w:val="lrTb"/>
            <w:noWrap/>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产地</w:t>
            </w:r>
            <w:r/>
          </w:p>
        </w:tc>
        <w:tc>
          <w:tcPr>
            <w:tcW w:w="1315" w:type="dxa"/>
            <w:vAlign w:val="center"/>
            <w:textDirection w:val="lrTb"/>
            <w:noWrap/>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交付期</w:t>
            </w:r>
            <w:r/>
          </w:p>
        </w:tc>
        <w:tc>
          <w:tcPr>
            <w:tcW w:w="797" w:type="dxa"/>
            <w:vAlign w:val="center"/>
            <w:textDirection w:val="lrTb"/>
            <w:noWrap/>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数量</w:t>
            </w:r>
            <w:r/>
          </w:p>
        </w:tc>
        <w:tc>
          <w:tcPr>
            <w:tcW w:w="703" w:type="dxa"/>
            <w:vAlign w:val="center"/>
            <w:textDirection w:val="lrTb"/>
            <w:noWrap/>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单位</w:t>
            </w:r>
            <w:r/>
          </w:p>
        </w:tc>
        <w:tc>
          <w:tcPr>
            <w:tcW w:w="820" w:type="dxa"/>
            <w:vAlign w:val="center"/>
            <w:textDirection w:val="lrTb"/>
            <w:noWrap/>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分项</w:t>
            </w:r>
            <w:r/>
          </w:p>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单价</w:t>
            </w:r>
            <w:r/>
          </w:p>
        </w:tc>
        <w:tc>
          <w:tcPr>
            <w:tcW w:w="750" w:type="dxa"/>
            <w:vAlign w:val="center"/>
            <w:textDirection w:val="lrTb"/>
            <w:noWrap/>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分项</w:t>
            </w:r>
            <w:r/>
          </w:p>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总价</w:t>
            </w:r>
            <w:r/>
          </w:p>
        </w:tc>
      </w:tr>
      <w:tr>
        <w:trPr>
          <w:cantSplit/>
          <w:trHeight w:val="696"/>
        </w:trPr>
        <w:tc>
          <w:tcPr>
            <w:tcW w:w="724" w:type="dxa"/>
            <w:vAlign w:val="center"/>
            <w:textDirection w:val="lrTb"/>
            <w:noWrap/>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1</w:t>
            </w:r>
            <w:r/>
          </w:p>
        </w:tc>
        <w:tc>
          <w:tcPr>
            <w:tcW w:w="728"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728"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738"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796"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016"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761" w:type="dxa"/>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315" w:type="dxa"/>
            <w:vAlign w:val="center"/>
            <w:textDirection w:val="lrTb"/>
            <w:noWrap/>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合同签订</w:t>
            </w:r>
            <w:r/>
          </w:p>
          <w:p>
            <w:pPr>
              <w:jc w:val="center"/>
              <w:spacing w:line="0" w:lineRule="atLeast"/>
              <w:rPr>
                <w:rFonts w:ascii="宋体" w:hAnsi="宋体"/>
                <w:color w:val="auto"/>
                <w:sz w:val="24"/>
                <w:highlight w:val="none"/>
                <w:u w:val="single"/>
              </w:rPr>
            </w:pPr>
            <w:r>
              <w:rPr>
                <w:rFonts w:hint="eastAsia" w:ascii="宋体" w:hAnsi="宋体"/>
                <w:color w:val="auto"/>
                <w:sz w:val="24"/>
                <w:highlight w:val="none"/>
              </w:rPr>
              <w:t xml:space="preserve">后日</w:t>
            </w:r>
            <w:r/>
          </w:p>
        </w:tc>
        <w:tc>
          <w:tcPr>
            <w:tcW w:w="797"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703"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820"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750"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r>
      <w:tr>
        <w:trPr>
          <w:cantSplit/>
          <w:trHeight w:val="724"/>
        </w:trPr>
        <w:tc>
          <w:tcPr>
            <w:tcW w:w="724" w:type="dxa"/>
            <w:vAlign w:val="center"/>
            <w:textDirection w:val="lrTb"/>
            <w:noWrap/>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2</w:t>
            </w:r>
            <w:r/>
          </w:p>
        </w:tc>
        <w:tc>
          <w:tcPr>
            <w:tcW w:w="728"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728"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738"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796"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016"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761" w:type="dxa"/>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315"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797"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703"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820"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750"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r>
      <w:tr>
        <w:trPr>
          <w:cantSplit/>
          <w:trHeight w:val="640"/>
        </w:trPr>
        <w:tc>
          <w:tcPr>
            <w:tcW w:w="724" w:type="dxa"/>
            <w:vAlign w:val="center"/>
            <w:textDirection w:val="lrTb"/>
            <w:noWrap/>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3</w:t>
            </w:r>
            <w:r/>
          </w:p>
        </w:tc>
        <w:tc>
          <w:tcPr>
            <w:tcW w:w="728"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728"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738"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796"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016"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761" w:type="dxa"/>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315"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797"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703"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820"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750"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r>
      <w:tr>
        <w:trPr>
          <w:cantSplit/>
          <w:trHeight w:val="580"/>
        </w:trPr>
        <w:tc>
          <w:tcPr>
            <w:tcW w:w="724"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t xml:space="preserve">…</w:t>
            </w:r>
            <w:r/>
          </w:p>
        </w:tc>
        <w:tc>
          <w:tcPr>
            <w:tcW w:w="728"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t xml:space="preserve">……</w:t>
            </w:r>
            <w:r/>
          </w:p>
        </w:tc>
        <w:tc>
          <w:tcPr>
            <w:tcW w:w="728"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738"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796"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016"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761" w:type="dxa"/>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315"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797"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703"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820"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750" w:type="dxa"/>
            <w:vAlign w:val="center"/>
            <w:textDirection w:val="lrTb"/>
            <w:noWrap/>
          </w:tcPr>
          <w:p>
            <w:pPr>
              <w:jc w:val="center"/>
              <w:spacing w:line="0" w:lineRule="atLeast"/>
              <w:rPr>
                <w:rFonts w:ascii="宋体" w:hAnsi="宋体"/>
                <w:color w:val="auto"/>
                <w:sz w:val="24"/>
                <w:highlight w:val="none"/>
              </w:rPr>
            </w:pPr>
            <w:r>
              <w:rPr>
                <w:rFonts w:ascii="宋体" w:hAnsi="宋体"/>
                <w:color w:val="auto"/>
                <w:sz w:val="24"/>
                <w:highlight w:val="none"/>
              </w:rPr>
            </w:r>
            <w:r/>
          </w:p>
        </w:tc>
      </w:tr>
      <w:tr>
        <w:trPr>
          <w:cantSplit/>
          <w:trHeight w:val="249"/>
        </w:trPr>
        <w:tc>
          <w:tcPr>
            <w:tcW w:w="724"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gridSpan w:val="10"/>
            <w:tcW w:w="8402" w:type="dxa"/>
            <w:vAlign w:val="center"/>
            <w:textDirection w:val="lrTb"/>
            <w:noWrap/>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投标总报价（人民币：元）</w:t>
            </w:r>
            <w:r/>
          </w:p>
        </w:tc>
        <w:tc>
          <w:tcPr>
            <w:tcW w:w="750" w:type="dxa"/>
            <w:textDirection w:val="lrTb"/>
            <w:noWrap/>
          </w:tcPr>
          <w:p>
            <w:pPr>
              <w:rPr>
                <w:rFonts w:ascii="宋体" w:hAnsi="宋体"/>
                <w:color w:val="auto"/>
                <w:sz w:val="24"/>
                <w:highlight w:val="none"/>
              </w:rPr>
            </w:pPr>
            <w:r>
              <w:rPr>
                <w:rFonts w:ascii="宋体" w:hAnsi="宋体"/>
                <w:color w:val="auto"/>
                <w:sz w:val="24"/>
                <w:highlight w:val="none"/>
              </w:rPr>
            </w:r>
            <w:r/>
          </w:p>
        </w:tc>
      </w:tr>
    </w:tbl>
    <w:p>
      <w:pPr>
        <w:spacing w:line="440" w:lineRule="exact"/>
        <w:rPr>
          <w:rFonts w:ascii="宋体" w:hAnsi="宋体" w:cs="宋体"/>
          <w:b/>
          <w:color w:val="auto"/>
          <w:sz w:val="24"/>
          <w:highlight w:val="none"/>
        </w:rPr>
      </w:pPr>
      <w:r>
        <w:rPr>
          <w:rFonts w:ascii="宋体" w:hAnsi="宋体" w:cs="宋体"/>
          <w:b/>
          <w:color w:val="auto"/>
          <w:sz w:val="24"/>
          <w:highlight w:val="none"/>
        </w:rPr>
      </w:r>
      <w:r/>
    </w:p>
    <w:p>
      <w:pPr>
        <w:pStyle w:val="901"/>
        <w:jc w:val="left"/>
        <w:keepNext w:val="0"/>
        <w:spacing w:before="0" w:after="0" w:line="440" w:lineRule="exact"/>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备注：1.投标报价采用总承包方式，“投标总报价”应包括项目本身费用、所需设备、线路租赁、维护、电费、材料、安装、调试、维护、培训、运输、施工、垃圾清扫和搬运、成品保护、检测、检验、利润、税金、政策性文件规定及本项目包含的所有风险、责任等各项应有费用。招标文件中另有规定的除外。</w:t>
      </w:r>
      <w:r/>
    </w:p>
    <w:p>
      <w:pPr>
        <w:pStyle w:val="901"/>
        <w:jc w:val="left"/>
        <w:keepNext w:val="0"/>
        <w:spacing w:before="0" w:after="0" w:line="440" w:lineRule="exact"/>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2.“投标分项报价表”中“投标总报价”数额应当与“开标一览表”中“投标总报价”数额一致。</w:t>
      </w:r>
      <w:r/>
    </w:p>
    <w:p>
      <w:pPr>
        <w:pStyle w:val="901"/>
        <w:jc w:val="left"/>
        <w:keepNext w:val="0"/>
        <w:spacing w:before="0" w:after="0" w:line="440" w:lineRule="exact"/>
        <w:rPr>
          <w:rFonts w:ascii="宋体" w:hAnsi="宋体" w:eastAsia="宋体" w:cs="宋体"/>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 w:val="0"/>
          <w:bCs w:val="0"/>
          <w:color w:val="auto"/>
          <w:sz w:val="24"/>
          <w:szCs w:val="24"/>
          <w:highlight w:val="none"/>
        </w:rPr>
        <w:t xml:space="preserve">3.投标人需认真填写本报价表，尤其注意设备品牌型号的准确填写。投标人须提供所投设备产品品牌、型号、产地，除辅材、辅助材料(含以施工为主的条目)和技术参数标明为定制的产品之外的其它应该标明品牌和型号的产品，在投标文件中必须标明产品的品牌、型号，否则作无效投标处理。</w:t>
      </w:r>
      <w:r/>
    </w:p>
    <w:p>
      <w:pPr>
        <w:pStyle w:val="911"/>
        <w:rPr>
          <w:rFonts w:ascii="Times New Roman" w:hAnsi="Times New Roman" w:eastAsia="宋体"/>
          <w:color w:val="auto"/>
          <w:szCs w:val="32"/>
          <w:highlight w:val="none"/>
        </w:rPr>
        <w:outlineLvl w:val="1"/>
      </w:pPr>
      <w:r/>
      <w:bookmarkStart w:id="128" w:name="_Toc158281567"/>
      <w:r>
        <w:rPr>
          <w:rFonts w:hint="eastAsia"/>
          <w:color w:val="auto"/>
          <w:highlight w:val="none"/>
        </w:rPr>
        <w:t xml:space="preserve">七、中小企业声明函（服务）</w:t>
      </w:r>
      <w:bookmarkEnd w:id="128"/>
      <w:r/>
      <w:r/>
    </w:p>
    <w:p>
      <w:pPr>
        <w:ind w:firstLine="360"/>
        <w:spacing w:line="560" w:lineRule="exact"/>
        <w:rPr>
          <w:color w:val="auto"/>
          <w:sz w:val="24"/>
          <w:highlight w:val="none"/>
        </w:rPr>
      </w:pPr>
      <w:r>
        <w:rPr>
          <w:rFonts w:hint="eastAsia"/>
          <w:color w:val="auto"/>
          <w:sz w:val="24"/>
          <w:highlight w:val="none"/>
        </w:rPr>
        <w:t xml:space="preserve">本公司（联合体）郑重声明，根据《政府采购促进中小企业发展管理办法》(财库[2020]46号)的规定，本公司（联合体）参加江苏省政府采购代理机构组织的</w:t>
      </w:r>
      <w:r>
        <w:rPr>
          <w:rFonts w:hint="eastAsia"/>
          <w:color w:val="auto"/>
          <w:sz w:val="24"/>
          <w:highlight w:val="none"/>
          <w:u w:val="single"/>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w:t>
      </w:r>
      <w:r>
        <w:rPr>
          <w:rFonts w:hint="eastAsia"/>
          <w:color w:val="auto"/>
          <w:sz w:val="24"/>
          <w:highlight w:val="none"/>
        </w:rPr>
        <w:t xml:space="preserve">，</w:t>
      </w:r>
      <w:r>
        <w:rPr>
          <w:rFonts w:hint="eastAsia"/>
          <w:color w:val="auto"/>
          <w:sz w:val="24"/>
          <w:highlight w:val="none"/>
          <w:u w:val="single"/>
        </w:rPr>
        <w:t xml:space="preserve">（项目名称）</w:t>
      </w:r>
      <w:r>
        <w:rPr>
          <w:rFonts w:hint="eastAsia"/>
          <w:color w:val="auto"/>
          <w:sz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i/>
          <w:color w:val="auto"/>
          <w:sz w:val="24"/>
          <w:highlight w:val="none"/>
          <w:u w:val="single"/>
        </w:rPr>
      </w:pPr>
      <w:r>
        <w:rPr>
          <w:rFonts w:hint="eastAsia"/>
          <w:color w:val="auto"/>
          <w:sz w:val="24"/>
          <w:highlight w:val="none"/>
        </w:rPr>
        <w:t xml:space="preserve">1.</w:t>
      </w:r>
      <w:r>
        <w:rPr>
          <w:rFonts w:hint="eastAsia"/>
          <w:color w:val="auto"/>
          <w:sz w:val="24"/>
          <w:highlight w:val="none"/>
          <w:u w:val="single"/>
        </w:rPr>
        <w:t xml:space="preserve">（标的名称）</w:t>
      </w:r>
      <w:r>
        <w:rPr>
          <w:rFonts w:hint="eastAsia"/>
          <w:i/>
          <w:color w:val="auto"/>
          <w:sz w:val="24"/>
          <w:highlight w:val="none"/>
        </w:rPr>
        <w:t xml:space="preserve">，</w:t>
      </w:r>
      <w:r>
        <w:rPr>
          <w:rFonts w:hint="eastAsia"/>
          <w:color w:val="auto"/>
          <w:sz w:val="24"/>
          <w:highlight w:val="none"/>
        </w:rPr>
        <w:t xml:space="preserve">属于行业；承接企业为</w:t>
      </w:r>
      <w:r>
        <w:rPr>
          <w:rFonts w:hint="eastAsia"/>
          <w:color w:val="auto"/>
          <w:sz w:val="24"/>
          <w:highlight w:val="none"/>
          <w:u w:val="single"/>
        </w:rPr>
        <w:t xml:space="preserve">（企业名称）</w:t>
      </w:r>
      <w:r>
        <w:rPr>
          <w:rFonts w:hint="eastAsia"/>
          <w:color w:val="auto"/>
          <w:sz w:val="24"/>
          <w:highlight w:val="none"/>
        </w:rPr>
        <w:t xml:space="preserve">，属于</w:t>
      </w:r>
      <w:r>
        <w:rPr>
          <w:rFonts w:hint="eastAsia"/>
          <w:color w:val="auto"/>
          <w:sz w:val="24"/>
          <w:highlight w:val="none"/>
          <w:u w:val="single"/>
        </w:rPr>
        <w:t xml:space="preserve">（中型企业、小型企业、微型企业）；</w:t>
      </w:r>
      <w:r/>
    </w:p>
    <w:p>
      <w:pPr>
        <w:ind w:firstLine="360"/>
        <w:spacing w:line="360" w:lineRule="auto"/>
        <w:rPr>
          <w:i/>
          <w:color w:val="auto"/>
          <w:sz w:val="24"/>
          <w:highlight w:val="none"/>
          <w:u w:val="single"/>
        </w:rPr>
      </w:pPr>
      <w:r>
        <w:rPr>
          <w:rFonts w:hint="eastAsia"/>
          <w:color w:val="auto"/>
          <w:sz w:val="24"/>
          <w:highlight w:val="none"/>
        </w:rPr>
        <w:t xml:space="preserve">2.</w:t>
      </w:r>
      <w:r>
        <w:rPr>
          <w:rFonts w:hint="eastAsia"/>
          <w:color w:val="auto"/>
          <w:sz w:val="24"/>
          <w:highlight w:val="none"/>
          <w:u w:val="single"/>
        </w:rPr>
        <w:t xml:space="preserve">（标的名称）</w:t>
      </w:r>
      <w:r>
        <w:rPr>
          <w:rFonts w:hint="eastAsia"/>
          <w:i/>
          <w:color w:val="auto"/>
          <w:sz w:val="24"/>
          <w:highlight w:val="none"/>
        </w:rPr>
        <w:t xml:space="preserve">，</w:t>
      </w:r>
      <w:r>
        <w:rPr>
          <w:rFonts w:hint="eastAsia"/>
          <w:color w:val="auto"/>
          <w:sz w:val="24"/>
          <w:highlight w:val="none"/>
        </w:rPr>
        <w:t xml:space="preserve">属于行业；承接企业为</w:t>
      </w:r>
      <w:r>
        <w:rPr>
          <w:rFonts w:hint="eastAsia"/>
          <w:color w:val="auto"/>
          <w:sz w:val="24"/>
          <w:highlight w:val="none"/>
          <w:u w:val="single"/>
        </w:rPr>
        <w:t xml:space="preserve">（企业名称）</w:t>
      </w:r>
      <w:r>
        <w:rPr>
          <w:rFonts w:hint="eastAsia"/>
          <w:color w:val="auto"/>
          <w:sz w:val="24"/>
          <w:highlight w:val="none"/>
        </w:rPr>
        <w:t xml:space="preserve">，属于</w:t>
      </w:r>
      <w:r>
        <w:rPr>
          <w:rFonts w:hint="eastAsia"/>
          <w:color w:val="auto"/>
          <w:sz w:val="24"/>
          <w:highlight w:val="none"/>
          <w:u w:val="single"/>
        </w:rPr>
        <w:t xml:space="preserve">（中型企业、小型企业、微型企业）；</w:t>
      </w:r>
      <w:r/>
    </w:p>
    <w:p>
      <w:pPr>
        <w:ind w:firstLine="360"/>
        <w:spacing w:line="360" w:lineRule="auto"/>
        <w:rPr>
          <w:color w:val="auto"/>
          <w:sz w:val="24"/>
          <w:highlight w:val="none"/>
        </w:rPr>
      </w:pPr>
      <w:r>
        <w:rPr>
          <w:rFonts w:hint="eastAsia"/>
          <w:color w:val="auto"/>
          <w:sz w:val="24"/>
          <w:highlight w:val="none"/>
        </w:rPr>
        <w:t xml:space="preserve">……</w:t>
      </w:r>
      <w:r/>
    </w:p>
    <w:p>
      <w:pPr>
        <w:ind w:firstLine="360"/>
        <w:spacing w:line="360" w:lineRule="auto"/>
        <w:rPr>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ind w:firstLine="360"/>
        <w:spacing w:line="360" w:lineRule="auto"/>
        <w:rPr>
          <w:color w:val="auto"/>
          <w:sz w:val="24"/>
          <w:highlight w:val="none"/>
        </w:rPr>
      </w:pPr>
      <w:r>
        <w:rPr>
          <w:rFonts w:hint="eastAsia"/>
          <w:color w:val="auto"/>
          <w:sz w:val="24"/>
          <w:highlight w:val="none"/>
        </w:rPr>
        <w:t xml:space="preserve">本企业对上述声明内容的真实性负责。如有虚假，将依法承担相应责任。</w:t>
      </w:r>
      <w:r/>
    </w:p>
    <w:p>
      <w:pPr>
        <w:rPr>
          <w:color w:val="auto"/>
          <w:sz w:val="24"/>
          <w:highlight w:val="none"/>
        </w:rPr>
      </w:pPr>
      <w:r>
        <w:rPr>
          <w:rFonts w:hint="eastAsia"/>
          <w:color w:val="auto"/>
          <w:sz w:val="24"/>
          <w:highlight w:val="none"/>
        </w:rPr>
        <w:t xml:space="preserve">备注：1、投标人如不提供此声明函，不得参加专门面向中小企业采购项目或者不得享受小微企业价格扣除政策。此声明函将随成交结果同时公告，接受社会监督。</w:t>
      </w:r>
      <w:r/>
    </w:p>
    <w:p>
      <w:pPr>
        <w:numPr>
          <w:ilvl w:val="0"/>
          <w:numId w:val="4"/>
        </w:numPr>
        <w:ind w:firstLine="480"/>
        <w:rPr>
          <w:color w:val="auto"/>
          <w:sz w:val="24"/>
          <w:highlight w:val="none"/>
        </w:rPr>
      </w:pPr>
      <w:r>
        <w:rPr>
          <w:rFonts w:hint="eastAsia"/>
          <w:color w:val="auto"/>
          <w:sz w:val="24"/>
          <w:highlight w:val="none"/>
        </w:rPr>
        <w:t xml:space="preserve">服务采购项目中，服务的承接商应当为中小企业，不对其中涉及的货物的制造商、工程的承建商作出要求。</w:t>
      </w:r>
      <w:r/>
    </w:p>
    <w:p>
      <w:pPr>
        <w:ind w:firstLine="360"/>
        <w:spacing w:line="360" w:lineRule="auto"/>
        <w:rPr>
          <w:color w:val="auto"/>
          <w:sz w:val="24"/>
          <w:highlight w:val="none"/>
        </w:rPr>
      </w:pPr>
      <w:r>
        <w:rPr>
          <w:color w:val="auto"/>
          <w:sz w:val="24"/>
          <w:highlight w:val="none"/>
        </w:rPr>
      </w:r>
      <w:r/>
    </w:p>
    <w:p>
      <w:pPr>
        <w:ind w:firstLine="360"/>
        <w:spacing w:line="360" w:lineRule="auto"/>
        <w:rPr>
          <w:color w:val="auto"/>
          <w:sz w:val="24"/>
          <w:highlight w:val="none"/>
        </w:rPr>
      </w:pPr>
      <w:r>
        <w:rPr>
          <w:color w:val="auto"/>
          <w:sz w:val="24"/>
          <w:highlight w:val="none"/>
        </w:rPr>
      </w:r>
      <w:r/>
    </w:p>
    <w:p>
      <w:pPr>
        <w:ind w:right="180" w:firstLine="360"/>
        <w:jc w:val="right"/>
        <w:spacing w:line="360" w:lineRule="auto"/>
        <w:rPr>
          <w:color w:val="auto"/>
          <w:sz w:val="24"/>
          <w:highlight w:val="none"/>
        </w:rPr>
      </w:pPr>
      <w:r>
        <w:rPr>
          <w:rFonts w:hint="eastAsia"/>
          <w:color w:val="auto"/>
          <w:sz w:val="24"/>
          <w:highlight w:val="none"/>
        </w:rPr>
        <w:t xml:space="preserve">企业名称：（加盖CA电子公章）</w:t>
      </w:r>
      <w:r/>
    </w:p>
    <w:p>
      <w:pPr>
        <w:jc w:val="right"/>
        <w:spacing w:line="360" w:lineRule="auto"/>
        <w:rPr>
          <w:color w:val="auto"/>
          <w:sz w:val="24"/>
          <w:highlight w:val="none"/>
        </w:rPr>
      </w:pPr>
      <w:r>
        <w:rPr>
          <w:rFonts w:hint="eastAsia"/>
          <w:color w:val="auto"/>
          <w:sz w:val="24"/>
          <w:highlight w:val="none"/>
        </w:rPr>
        <w:t xml:space="preserve">日  期：年___月___日</w:t>
      </w:r>
      <w:r/>
    </w:p>
    <w:p>
      <w:pPr>
        <w:jc w:val="center"/>
        <w:spacing w:line="360" w:lineRule="auto"/>
        <w:rPr>
          <w:rFonts w:eastAsia="黑体"/>
          <w:color w:val="auto"/>
          <w:sz w:val="32"/>
          <w:szCs w:val="32"/>
          <w:highlight w:val="none"/>
        </w:rPr>
        <w:outlineLvl w:val="0"/>
      </w:pPr>
      <w:r>
        <w:rPr>
          <w:rFonts w:hint="eastAsia" w:eastAsia="黑体"/>
          <w:color w:val="auto"/>
          <w:sz w:val="32"/>
          <w:szCs w:val="32"/>
          <w:highlight w:val="none"/>
        </w:rPr>
        <w:br w:type="page" w:clear="all"/>
      </w:r>
      <w:bookmarkStart w:id="129" w:name="_Toc158133337"/>
      <w:r/>
      <w:bookmarkStart w:id="130" w:name="_Toc158281568"/>
      <w:r/>
      <w:bookmarkStart w:id="131" w:name="_Toc158125008"/>
      <w:r>
        <w:rPr>
          <w:rFonts w:hint="eastAsia" w:eastAsia="黑体"/>
          <w:color w:val="auto"/>
          <w:sz w:val="32"/>
          <w:szCs w:val="32"/>
          <w:highlight w:val="none"/>
        </w:rPr>
        <w:t xml:space="preserve">残疾人福利性单位声明函</w:t>
      </w:r>
      <w:bookmarkEnd w:id="129"/>
      <w:r/>
      <w:bookmarkEnd w:id="130"/>
      <w:r/>
      <w:bookmarkEnd w:id="131"/>
      <w:r/>
      <w:r/>
    </w:p>
    <w:p>
      <w:pPr>
        <w:ind w:firstLine="480"/>
        <w:spacing w:line="360" w:lineRule="auto"/>
        <w:rPr>
          <w:color w:val="auto"/>
          <w:sz w:val="24"/>
          <w:highlight w:val="none"/>
        </w:rPr>
      </w:pPr>
      <w:r>
        <w:rPr>
          <w:rFonts w:hint="eastAsia"/>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141号）的规定，本单位为符合条件的残疾人福利性单位，且本单位参加______单位的采购文件编号为的项目采购活动由本单位提供服务。</w:t>
      </w:r>
      <w:r/>
    </w:p>
    <w:p>
      <w:pPr>
        <w:ind w:firstLine="480"/>
        <w:spacing w:line="360" w:lineRule="auto"/>
        <w:rPr>
          <w:color w:val="auto"/>
          <w:sz w:val="24"/>
          <w:highlight w:val="none"/>
        </w:rPr>
      </w:pPr>
      <w:r>
        <w:rPr>
          <w:rFonts w:hint="eastAsia"/>
          <w:color w:val="auto"/>
          <w:sz w:val="24"/>
          <w:highlight w:val="none"/>
        </w:rPr>
        <w:t xml:space="preserve">本单位对上述声明的真实性负责。如有虚假，将依法承担相应责任。</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color w:val="auto"/>
          <w:spacing w:val="6"/>
          <w:sz w:val="30"/>
          <w:szCs w:val="30"/>
          <w:highlight w:val="none"/>
        </w:rPr>
      </w:pPr>
      <w:r>
        <w:rPr>
          <w:rFonts w:eastAsia="仿宋_GB2312"/>
          <w:color w:val="auto"/>
          <w:spacing w:val="6"/>
          <w:sz w:val="30"/>
          <w:szCs w:val="30"/>
          <w:highlight w:val="none"/>
        </w:rPr>
      </w:r>
      <w:r/>
    </w:p>
    <w:p>
      <w:pPr>
        <w:pStyle w:val="905"/>
        <w:spacing w:line="360" w:lineRule="auto"/>
        <w:rPr>
          <w:rFonts w:ascii="Times New Roman" w:hAnsi="Times New Roman"/>
          <w:color w:val="auto"/>
          <w:highlight w:val="none"/>
        </w:rPr>
      </w:pPr>
      <w:r>
        <w:rPr>
          <w:rFonts w:ascii="Times New Roman" w:hAnsi="Times New Roman"/>
          <w:color w:val="auto"/>
          <w:highlight w:val="none"/>
        </w:rPr>
      </w:r>
      <w:r/>
    </w:p>
    <w:p>
      <w:pPr>
        <w:ind w:right="180" w:firstLine="360"/>
        <w:jc w:val="right"/>
        <w:spacing w:line="360" w:lineRule="auto"/>
        <w:rPr>
          <w:color w:val="auto"/>
          <w:sz w:val="24"/>
          <w:highlight w:val="none"/>
        </w:rPr>
      </w:pPr>
      <w:r>
        <w:rPr>
          <w:rFonts w:hint="eastAsia"/>
          <w:color w:val="auto"/>
          <w:sz w:val="24"/>
          <w:highlight w:val="none"/>
        </w:rPr>
        <w:t xml:space="preserve">企业名称：（加盖CA电子公章）</w:t>
      </w:r>
      <w:r/>
    </w:p>
    <w:p>
      <w:pPr>
        <w:jc w:val="right"/>
        <w:spacing w:line="360" w:lineRule="auto"/>
        <w:rPr>
          <w:color w:val="auto"/>
          <w:sz w:val="24"/>
          <w:highlight w:val="none"/>
        </w:rPr>
      </w:pPr>
      <w:r>
        <w:rPr>
          <w:rFonts w:hint="eastAsia"/>
          <w:color w:val="auto"/>
          <w:sz w:val="24"/>
          <w:highlight w:val="none"/>
        </w:rPr>
        <w:t xml:space="preserve">日  期：年___月___日</w:t>
      </w:r>
      <w:r/>
    </w:p>
    <w:p>
      <w:pPr>
        <w:jc w:val="right"/>
        <w:spacing w:line="440" w:lineRule="exact"/>
        <w:rPr>
          <w:rFonts w:ascii="宋体" w:hAnsi="宋体" w:cs="宋体"/>
          <w:b/>
          <w:color w:val="auto"/>
          <w:sz w:val="24"/>
          <w:highlight w:val="none"/>
        </w:rPr>
      </w:pPr>
      <w:r>
        <w:rPr>
          <w:rFonts w:hint="eastAsia" w:ascii="宋体" w:hAnsi="宋体" w:cs="宋体"/>
          <w:b/>
          <w:color w:val="auto"/>
          <w:sz w:val="24"/>
          <w:highlight w:val="none"/>
        </w:rPr>
        <w:br w:type="page" w:clear="all"/>
      </w:r>
      <w:r/>
    </w:p>
    <w:p>
      <w:pPr>
        <w:jc w:val="left"/>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八、响应及偏离表</w:t>
      </w:r>
      <w:r/>
    </w:p>
    <w:p>
      <w:pPr>
        <w:ind w:firstLine="1446"/>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实质性要求响应及偏离表（分包号：）</w:t>
      </w:r>
      <w:r/>
    </w:p>
    <w:tbl>
      <w:tblPr>
        <w:tblStyle w:val="6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6"/>
        <w:gridCol w:w="3411"/>
        <w:gridCol w:w="3136"/>
        <w:gridCol w:w="144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技术要求和商务要求中的实质性要求</w:t>
            </w:r>
            <w:r>
              <w:rPr>
                <w:rFonts w:ascii="宋体" w:hAnsi="宋体" w:cs="宋体"/>
                <w:i/>
                <w:color w:val="auto"/>
                <w:sz w:val="24"/>
                <w:highlight w:val="none"/>
                <w:u w:val="single"/>
              </w:rPr>
              <w:t xml:space="preserve">（</w:t>
            </w:r>
            <w:r>
              <w:rPr>
                <w:rFonts w:ascii="宋体" w:hAnsi="宋体" w:cs="宋体"/>
                <w:color w:val="auto"/>
                <w:sz w:val="24"/>
                <w:highlight w:val="none"/>
                <w:u w:val="single"/>
              </w:rPr>
              <w:t xml:space="preserve">打“★”内容）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bl>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附件 证明材料1，证明材料2，……</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1.投标人必须对技术要求和商务要求中的实质性要求</w:t>
      </w:r>
      <w:r>
        <w:rPr>
          <w:rFonts w:ascii="宋体" w:hAnsi="宋体" w:cs="宋体"/>
          <w:i/>
          <w:color w:val="auto"/>
          <w:sz w:val="24"/>
          <w:highlight w:val="none"/>
          <w:u w:val="single"/>
        </w:rPr>
        <w:t xml:space="preserve">（</w:t>
      </w:r>
      <w:r>
        <w:rPr>
          <w:rFonts w:ascii="宋体" w:hAnsi="宋体" w:cs="宋体"/>
          <w:color w:val="auto"/>
          <w:sz w:val="24"/>
          <w:highlight w:val="none"/>
          <w:u w:val="single"/>
        </w:rPr>
        <w:t xml:space="preserve">打“★”内容）</w:t>
      </w:r>
      <w:r>
        <w:rPr>
          <w:rFonts w:ascii="宋体" w:hAnsi="宋体" w:cs="宋体"/>
          <w:color w:val="auto"/>
          <w:sz w:val="24"/>
          <w:highlight w:val="none"/>
        </w:rPr>
        <w:t xml:space="preserve">逐条做出明确响应。</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2.如果招标文件要求提供证明材料，投标人必须将证明材料列于该表之下。</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3.投标人未对实质性要求逐条作出明确响应的，或未按招标文件要求提供证明材料的，该</w:t>
      </w:r>
      <w:r>
        <w:rPr>
          <w:rFonts w:hint="eastAsia" w:ascii="宋体" w:hAnsi="宋体" w:cs="宋体"/>
          <w:color w:val="auto"/>
          <w:sz w:val="24"/>
          <w:highlight w:val="none"/>
        </w:rPr>
        <w:t xml:space="preserve">采购包</w:t>
      </w:r>
      <w:r>
        <w:rPr>
          <w:rFonts w:ascii="宋体" w:hAnsi="宋体" w:cs="宋体"/>
          <w:color w:val="auto"/>
          <w:sz w:val="24"/>
          <w:highlight w:val="none"/>
        </w:rPr>
        <w:t xml:space="preserve">作无效标处理。</w:t>
      </w:r>
      <w:r/>
    </w:p>
    <w:p>
      <w:pPr>
        <w:jc w:val="center"/>
        <w:spacing w:line="56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56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color w:val="auto"/>
          <w:sz w:val="24"/>
          <w:highlight w:val="none"/>
        </w:rPr>
      </w:pPr>
      <w:r>
        <w:rPr>
          <w:rFonts w:hint="eastAsia" w:ascii="宋体" w:hAnsi="宋体" w:cs="宋体"/>
          <w:b/>
          <w:color w:val="auto"/>
          <w:sz w:val="24"/>
          <w:highlight w:val="none"/>
        </w:rPr>
        <w:t xml:space="preserve">技术要求响应及偏离表（分包号：）</w:t>
      </w:r>
      <w:r/>
    </w:p>
    <w:tbl>
      <w:tblPr>
        <w:tblStyle w:val="66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3063"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技术要求</w:t>
            </w:r>
            <w:r/>
          </w:p>
        </w:tc>
        <w:tc>
          <w:tcPr>
            <w:tcW w:w="3191"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投标响应情况</w:t>
            </w:r>
            <w:r/>
          </w:p>
        </w:tc>
        <w:tc>
          <w:tcPr>
            <w:tcW w:w="2128"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超出、符合或偏离</w:t>
            </w:r>
            <w:r/>
          </w:p>
        </w:tc>
      </w:tr>
      <w:tr>
        <w:trPr>
          <w:cantSplit/>
          <w:trHeight w:val="640"/>
        </w:trPr>
        <w:tc>
          <w:tcPr>
            <w:tcW w:w="545" w:type="dxa"/>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w:t>
            </w:r>
            <w:r/>
          </w:p>
        </w:tc>
        <w:tc>
          <w:tcPr>
            <w:tcW w:w="3063"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3191"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2128"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W w:w="545"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3063" w:type="dxa"/>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w:t>
            </w:r>
            <w:r/>
          </w:p>
        </w:tc>
        <w:tc>
          <w:tcPr>
            <w:tcW w:w="3191"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2128"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bl>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附件  证明材料1，证明材料2，……</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备注：</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1.投标人需对技术要求（</w:t>
      </w:r>
      <w:r>
        <w:rPr>
          <w:rFonts w:hint="eastAsia" w:ascii="宋体" w:hAnsi="宋体" w:cs="宋体"/>
          <w:iCs/>
          <w:color w:val="auto"/>
          <w:sz w:val="24"/>
          <w:highlight w:val="none"/>
          <w:u w:val="single"/>
        </w:rPr>
        <w:t xml:space="preserve">未打“★”内容</w:t>
      </w:r>
      <w:r>
        <w:rPr>
          <w:rFonts w:hint="eastAsia" w:ascii="宋体" w:hAnsi="宋体" w:cs="宋体"/>
          <w:color w:val="auto"/>
          <w:sz w:val="24"/>
          <w:highlight w:val="none"/>
        </w:rPr>
        <w:t xml:space="preserve">）逐条做出明确响应。</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2.如果招标文件要求提供证明材料，投标人需将证明材料列于该表之下。</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pStyle w:val="906"/>
        <w:rPr>
          <w:rFonts w:ascii="宋体" w:hAnsi="宋体" w:eastAsia="宋体" w:cs="宋体"/>
          <w:color w:val="auto"/>
          <w:highlight w:val="none"/>
        </w:rPr>
      </w:pPr>
      <w:r>
        <w:rPr>
          <w:rFonts w:ascii="宋体" w:hAnsi="宋体" w:eastAsia="宋体" w:cs="宋体"/>
          <w:color w:val="auto"/>
          <w:highlight w:val="none"/>
        </w:rPr>
      </w:r>
      <w:r/>
    </w:p>
    <w:p>
      <w:pPr>
        <w:jc w:val="left"/>
        <w:spacing w:line="360" w:lineRule="auto"/>
        <w:rPr>
          <w:rFonts w:ascii="宋体" w:hAnsi="宋体" w:cs="宋体"/>
          <w:b/>
          <w:color w:val="auto"/>
          <w:sz w:val="32"/>
          <w:highlight w:val="none"/>
        </w:rPr>
      </w:pPr>
      <w:r>
        <w:rPr>
          <w:rFonts w:ascii="宋体" w:hAnsi="宋体" w:cs="宋体"/>
          <w:b/>
          <w:color w:val="auto"/>
          <w:sz w:val="32"/>
          <w:highlight w:val="none"/>
        </w:rPr>
      </w:r>
      <w:r/>
    </w:p>
    <w:p>
      <w:pPr>
        <w:jc w:val="center"/>
        <w:rPr>
          <w:rFonts w:ascii="宋体" w:hAnsi="宋体" w:cs="宋体"/>
          <w:b/>
          <w:color w:val="auto"/>
          <w:sz w:val="24"/>
          <w:highlight w:val="none"/>
        </w:rPr>
      </w:pPr>
      <w:r>
        <w:rPr>
          <w:rFonts w:hint="eastAsia" w:ascii="宋体" w:hAnsi="宋体" w:cs="宋体"/>
          <w:b/>
          <w:color w:val="auto"/>
          <w:sz w:val="24"/>
          <w:highlight w:val="none"/>
        </w:rPr>
        <w:t xml:space="preserve">商务要求响应及偏离表（分包号：    ）</w:t>
      </w:r>
      <w:r/>
    </w:p>
    <w:tbl>
      <w:tblPr>
        <w:tblStyle w:val="661"/>
        <w:tblW w:w="84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508"/>
        <w:gridCol w:w="2324"/>
      </w:tblGrid>
      <w:tr>
        <w:trPr>
          <w:cantSplit/>
        </w:trPr>
        <w:tc>
          <w:tcPr>
            <w:tcW w:w="545"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3063"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商务要求</w:t>
            </w:r>
            <w:r/>
          </w:p>
        </w:tc>
        <w:tc>
          <w:tcPr>
            <w:tcW w:w="2508"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投标响应情况</w:t>
            </w:r>
            <w:r/>
          </w:p>
        </w:tc>
        <w:tc>
          <w:tcPr>
            <w:tcW w:w="2324"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超出、符合或偏离</w:t>
            </w:r>
            <w:r/>
          </w:p>
        </w:tc>
      </w:tr>
      <w:tr>
        <w:trPr>
          <w:cantSplit/>
          <w:trHeight w:val="640"/>
        </w:trPr>
        <w:tc>
          <w:tcPr>
            <w:tcW w:w="545" w:type="dxa"/>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w:t>
            </w:r>
            <w:r/>
          </w:p>
        </w:tc>
        <w:tc>
          <w:tcPr>
            <w:tcW w:w="3063"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2508"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2324"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W w:w="545"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3063" w:type="dxa"/>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w:t>
            </w:r>
            <w:r/>
          </w:p>
        </w:tc>
        <w:tc>
          <w:tcPr>
            <w:tcW w:w="2508"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2324"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bl>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附件  证明材料1，证明材料2，……</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备注：</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1.投标人需对商务要求（</w:t>
      </w:r>
      <w:r>
        <w:rPr>
          <w:rFonts w:hint="eastAsia" w:ascii="宋体" w:hAnsi="宋体" w:cs="宋体"/>
          <w:iCs/>
          <w:color w:val="auto"/>
          <w:sz w:val="24"/>
          <w:highlight w:val="none"/>
          <w:u w:val="single"/>
        </w:rPr>
        <w:t xml:space="preserve">未打“★”内容</w:t>
      </w:r>
      <w:r>
        <w:rPr>
          <w:rFonts w:hint="eastAsia" w:ascii="宋体" w:hAnsi="宋体" w:cs="宋体"/>
          <w:color w:val="auto"/>
          <w:sz w:val="24"/>
          <w:highlight w:val="none"/>
        </w:rPr>
        <w:t xml:space="preserve">）逐条做出明确响应。</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2.如果招标文件要求提供证明材料，投标人需将证明材料列于该表之下。</w:t>
      </w:r>
      <w:r/>
    </w:p>
    <w:p>
      <w:pPr>
        <w:pStyle w:val="891"/>
        <w:rPr>
          <w:rFonts w:ascii="宋体" w:hAnsi="宋体" w:eastAsia="宋体" w:cs="宋体"/>
          <w:color w:val="auto"/>
          <w:highlight w:val="none"/>
        </w:rPr>
      </w:pPr>
      <w:r>
        <w:rPr>
          <w:rFonts w:ascii="宋体" w:hAnsi="宋体" w:eastAsia="宋体" w:cs="宋体"/>
          <w:color w:val="auto"/>
          <w:highlight w:val="none"/>
        </w:rPr>
      </w:r>
      <w:r/>
    </w:p>
    <w:p>
      <w:pPr>
        <w:pStyle w:val="891"/>
        <w:rPr>
          <w:rFonts w:ascii="宋体" w:hAnsi="宋体" w:eastAsia="宋体" w:cs="宋体"/>
          <w:color w:val="auto"/>
          <w:highlight w:val="none"/>
        </w:rPr>
      </w:pPr>
      <w:r>
        <w:rPr>
          <w:rFonts w:ascii="宋体" w:hAnsi="宋体" w:eastAsia="宋体" w:cs="宋体"/>
          <w:color w:val="auto"/>
          <w:highlight w:val="none"/>
        </w:rPr>
      </w:r>
      <w:r/>
    </w:p>
    <w:p>
      <w:pPr>
        <w:pStyle w:val="906"/>
        <w:spacing w:line="440" w:lineRule="exact"/>
        <w:rPr>
          <w:rFonts w:ascii="宋体" w:hAnsi="宋体" w:eastAsia="宋体" w:cs="宋体"/>
          <w:color w:val="auto"/>
          <w:sz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ascii="宋体" w:hAnsi="宋体" w:eastAsia="宋体" w:cs="宋体"/>
          <w:color w:val="auto"/>
          <w:sz w:val="24"/>
          <w:highlight w:val="none"/>
        </w:rPr>
      </w:r>
      <w:r/>
    </w:p>
    <w:p>
      <w:pPr>
        <w:pStyle w:val="906"/>
        <w:spacing w:line="440" w:lineRule="exact"/>
        <w:rPr>
          <w:rFonts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九、项目组人员</w:t>
      </w:r>
      <w:r/>
    </w:p>
    <w:p>
      <w:pPr>
        <w:pStyle w:val="863"/>
        <w:jc w:val="center"/>
        <w:spacing w:before="0" w:beforeAutospacing="0" w:after="0" w:afterAutospacing="0" w:line="440" w:lineRule="exact"/>
        <w:rPr>
          <w:rFonts w:ascii="宋体" w:hAnsi="宋体" w:cs="宋体"/>
          <w:b/>
          <w:bCs/>
          <w:color w:val="auto"/>
          <w:highlight w:val="none"/>
        </w:rPr>
      </w:pPr>
      <w:r>
        <w:rPr>
          <w:rFonts w:hint="eastAsia" w:ascii="宋体" w:hAnsi="宋体" w:cs="宋体"/>
          <w:b/>
          <w:bCs/>
          <w:color w:val="auto"/>
          <w:highlight w:val="none"/>
        </w:rPr>
        <w:t xml:space="preserve">项目组成员</w:t>
      </w:r>
      <w:r/>
    </w:p>
    <w:tbl>
      <w:tblPr>
        <w:tblStyle w:val="66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tcPr>
          <w:p>
            <w:pPr>
              <w:pStyle w:val="907"/>
              <w:jc w:val="center"/>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1843" w:type="dxa"/>
            <w:vAlign w:val="center"/>
            <w:textDirection w:val="lrTb"/>
            <w:noWrap/>
          </w:tcPr>
          <w:p>
            <w:pPr>
              <w:pStyle w:val="907"/>
              <w:jc w:val="center"/>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职务</w:t>
            </w:r>
            <w:r/>
          </w:p>
        </w:tc>
        <w:tc>
          <w:tcPr>
            <w:tcW w:w="992" w:type="dxa"/>
            <w:vAlign w:val="center"/>
            <w:textDirection w:val="lrTb"/>
            <w:noWrap/>
          </w:tcPr>
          <w:p>
            <w:pPr>
              <w:pStyle w:val="907"/>
              <w:jc w:val="center"/>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学历</w:t>
            </w:r>
            <w:r/>
          </w:p>
        </w:tc>
        <w:tc>
          <w:tcPr>
            <w:tcW w:w="1984" w:type="dxa"/>
            <w:vAlign w:val="center"/>
            <w:textDirection w:val="lrTb"/>
            <w:noWrap/>
          </w:tcPr>
          <w:p>
            <w:pPr>
              <w:pStyle w:val="907"/>
              <w:ind w:firstLine="280"/>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身份证号</w:t>
            </w:r>
            <w:r/>
          </w:p>
        </w:tc>
        <w:tc>
          <w:tcPr>
            <w:tcW w:w="1702" w:type="dxa"/>
            <w:vAlign w:val="center"/>
            <w:textDirection w:val="lrTb"/>
            <w:noWrap/>
          </w:tcPr>
          <w:p>
            <w:pPr>
              <w:pStyle w:val="907"/>
              <w:jc w:val="center"/>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相关证书</w:t>
            </w:r>
            <w:r/>
          </w:p>
        </w:tc>
        <w:tc>
          <w:tcPr>
            <w:tcW w:w="962" w:type="dxa"/>
            <w:vAlign w:val="center"/>
            <w:textDirection w:val="lrTb"/>
            <w:noWrap/>
          </w:tcPr>
          <w:p>
            <w:pPr>
              <w:pStyle w:val="907"/>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trHeight w:val="729"/>
        </w:trPr>
        <w:tc>
          <w:tcPr>
            <w:tcW w:w="959"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1843" w:type="dxa"/>
            <w:vAlign w:val="center"/>
            <w:textDirection w:val="lrTb"/>
            <w:noWrap/>
          </w:tcPr>
          <w:p>
            <w:pPr>
              <w:pStyle w:val="863"/>
              <w:jc w:val="center"/>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项目经理</w:t>
            </w:r>
            <w:r/>
          </w:p>
        </w:tc>
        <w:tc>
          <w:tcPr>
            <w:tcW w:w="992"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1984"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962"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r>
      <w:tr>
        <w:trPr>
          <w:trHeight w:val="729"/>
        </w:trPr>
        <w:tc>
          <w:tcPr>
            <w:tcW w:w="959"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1843" w:type="dxa"/>
            <w:vAlign w:val="center"/>
            <w:textDirection w:val="lrTb"/>
            <w:noWrap/>
          </w:tcPr>
          <w:p>
            <w:pPr>
              <w:pStyle w:val="863"/>
              <w:jc w:val="center"/>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w:t>
            </w:r>
            <w:r/>
          </w:p>
        </w:tc>
        <w:tc>
          <w:tcPr>
            <w:tcW w:w="992"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1984"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962"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r>
      <w:tr>
        <w:trPr>
          <w:trHeight w:val="729"/>
        </w:trPr>
        <w:tc>
          <w:tcPr>
            <w:tcW w:w="959"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1843" w:type="dxa"/>
            <w:vAlign w:val="center"/>
            <w:textDirection w:val="lrTb"/>
            <w:noWrap/>
          </w:tcPr>
          <w:p>
            <w:pPr>
              <w:pStyle w:val="863"/>
              <w:ind w:firstLine="280"/>
              <w:spacing w:before="0" w:beforeAutospacing="0" w:after="0" w:afterAutospacing="0" w:line="440" w:lineRule="exact"/>
              <w:rPr>
                <w:rFonts w:ascii="宋体" w:hAnsi="宋体" w:cs="宋体"/>
                <w:color w:val="auto"/>
                <w:highlight w:val="none"/>
              </w:rPr>
            </w:pPr>
            <w:r>
              <w:rPr>
                <w:rFonts w:hint="eastAsia" w:ascii="宋体" w:hAnsi="宋体" w:cs="宋体"/>
                <w:color w:val="auto"/>
                <w:highlight w:val="none"/>
              </w:rPr>
              <w:t xml:space="preserve">......</w:t>
            </w:r>
            <w:r/>
          </w:p>
        </w:tc>
        <w:tc>
          <w:tcPr>
            <w:tcW w:w="992"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1984"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962"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r>
      <w:tr>
        <w:trPr>
          <w:trHeight w:val="729"/>
        </w:trPr>
        <w:tc>
          <w:tcPr>
            <w:tcW w:w="959"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1843" w:type="dxa"/>
            <w:vAlign w:val="center"/>
            <w:textDirection w:val="lrTb"/>
            <w:noWrap/>
          </w:tcPr>
          <w:p>
            <w:pPr>
              <w:pStyle w:val="863"/>
              <w:spacing w:before="0" w:beforeAutospacing="0" w:after="0" w:afterAutospacing="0" w:line="440" w:lineRule="exact"/>
              <w:rPr>
                <w:rFonts w:ascii="宋体" w:hAnsi="宋体" w:cs="宋体"/>
                <w:color w:val="auto"/>
                <w:highlight w:val="none"/>
              </w:rPr>
            </w:pPr>
            <w:r>
              <w:rPr>
                <w:rFonts w:ascii="宋体" w:hAnsi="宋体" w:cs="宋体"/>
                <w:color w:val="auto"/>
                <w:highlight w:val="none"/>
              </w:rPr>
            </w:r>
            <w:r/>
          </w:p>
        </w:tc>
        <w:tc>
          <w:tcPr>
            <w:tcW w:w="992"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1984"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962"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r>
      <w:tr>
        <w:trPr>
          <w:trHeight w:val="729"/>
        </w:trPr>
        <w:tc>
          <w:tcPr>
            <w:tcW w:w="959"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1843" w:type="dxa"/>
            <w:vAlign w:val="center"/>
            <w:textDirection w:val="lrTb"/>
            <w:noWrap/>
          </w:tcPr>
          <w:p>
            <w:pPr>
              <w:pStyle w:val="863"/>
              <w:spacing w:before="0" w:beforeAutospacing="0" w:after="0" w:afterAutospacing="0" w:line="440" w:lineRule="exact"/>
              <w:rPr>
                <w:rFonts w:ascii="宋体" w:hAnsi="宋体" w:cs="宋体"/>
                <w:color w:val="auto"/>
                <w:highlight w:val="none"/>
              </w:rPr>
            </w:pPr>
            <w:r>
              <w:rPr>
                <w:rFonts w:ascii="宋体" w:hAnsi="宋体" w:cs="宋体"/>
                <w:color w:val="auto"/>
                <w:highlight w:val="none"/>
              </w:rPr>
            </w:r>
            <w:r/>
          </w:p>
        </w:tc>
        <w:tc>
          <w:tcPr>
            <w:tcW w:w="992"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1984"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962"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r>
      <w:tr>
        <w:trPr>
          <w:trHeight w:val="729"/>
        </w:trPr>
        <w:tc>
          <w:tcPr>
            <w:tcW w:w="959"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1843"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1984"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962"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r>
      <w:tr>
        <w:trPr>
          <w:trHeight w:val="729"/>
        </w:trPr>
        <w:tc>
          <w:tcPr>
            <w:tcW w:w="959"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1843"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1984"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962"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r>
      <w:tr>
        <w:trPr>
          <w:trHeight w:val="729"/>
        </w:trPr>
        <w:tc>
          <w:tcPr>
            <w:tcW w:w="959"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1843"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1984"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962"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r>
      <w:tr>
        <w:trPr>
          <w:trHeight w:val="729"/>
        </w:trPr>
        <w:tc>
          <w:tcPr>
            <w:tcW w:w="959"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1843"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1984"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962"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r>
      <w:tr>
        <w:trPr>
          <w:trHeight w:val="729"/>
        </w:trPr>
        <w:tc>
          <w:tcPr>
            <w:tcW w:w="959"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1843"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1984"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c>
          <w:tcPr>
            <w:tcW w:w="962" w:type="dxa"/>
            <w:vAlign w:val="center"/>
            <w:textDirection w:val="lrTb"/>
            <w:noWrap/>
          </w:tcPr>
          <w:p>
            <w:pPr>
              <w:pStyle w:val="907"/>
              <w:ind w:firstLine="560"/>
              <w:jc w:val="center"/>
              <w:spacing w:line="440" w:lineRule="exact"/>
              <w:widowControl/>
              <w:rPr>
                <w:rFonts w:ascii="宋体" w:hAnsi="宋体" w:cs="宋体"/>
                <w:color w:val="auto"/>
                <w:sz w:val="24"/>
                <w:highlight w:val="none"/>
              </w:rPr>
            </w:pPr>
            <w:r>
              <w:rPr>
                <w:rFonts w:ascii="宋体" w:hAnsi="宋体" w:cs="宋体"/>
                <w:color w:val="auto"/>
                <w:sz w:val="24"/>
                <w:highlight w:val="none"/>
              </w:rPr>
            </w:r>
            <w:r/>
          </w:p>
        </w:tc>
      </w:tr>
    </w:tbl>
    <w:p>
      <w:pPr>
        <w:pStyle w:val="863"/>
        <w:ind w:firstLine="398"/>
        <w:spacing w:before="0" w:beforeAutospacing="0" w:after="0" w:afterAutospacing="0" w:line="440" w:lineRule="exact"/>
        <w:rPr>
          <w:rFonts w:ascii="宋体" w:hAnsi="宋体" w:cs="宋体"/>
          <w:color w:val="auto"/>
          <w:highlight w:val="none"/>
        </w:rPr>
      </w:pPr>
      <w:r>
        <w:rPr>
          <w:rFonts w:hint="eastAsia" w:ascii="宋体" w:hAnsi="宋体" w:cs="宋体"/>
          <w:b/>
          <w:color w:val="auto"/>
          <w:highlight w:val="none"/>
        </w:rPr>
        <w:t xml:space="preserve">注：如供应商中标，项目组成员必须按本表承诺人员操作，不得随意更换。按招标文件要求附相关人员证书。</w:t>
      </w:r>
      <w:r/>
    </w:p>
    <w:p>
      <w:pPr>
        <w:pStyle w:val="863"/>
        <w:ind w:firstLine="280"/>
        <w:spacing w:before="0" w:beforeAutospacing="0" w:after="0" w:afterAutospacing="0" w:line="440" w:lineRule="exact"/>
        <w:rPr>
          <w:rFonts w:ascii="宋体" w:hAnsi="宋体" w:cs="宋体"/>
          <w:color w:val="auto"/>
          <w:highlight w:val="none"/>
        </w:rPr>
      </w:pPr>
      <w:r>
        <w:rPr>
          <w:rFonts w:ascii="宋体" w:hAnsi="宋体" w:cs="宋体"/>
          <w:color w:val="auto"/>
          <w:highlight w:val="none"/>
        </w:rPr>
      </w:r>
      <w:r/>
    </w:p>
    <w:p>
      <w:pPr>
        <w:pStyle w:val="908"/>
        <w:spacing w:line="440" w:lineRule="exact"/>
        <w:rPr>
          <w:rFonts w:ascii="宋体" w:hAnsi="宋体" w:cs="宋体"/>
          <w:color w:val="auto"/>
          <w:sz w:val="24"/>
          <w:highlight w:val="none"/>
        </w:rPr>
      </w:pPr>
      <w:r>
        <w:rPr>
          <w:rFonts w:hint="eastAsia" w:ascii="宋体" w:hAnsi="宋体" w:cs="宋体"/>
          <w:color w:val="auto"/>
          <w:sz w:val="24"/>
          <w:highlight w:val="none"/>
        </w:rPr>
        <w:br w:type="page" w:clear="all"/>
      </w:r>
      <w:bookmarkStart w:id="132" w:name="_Toc11176"/>
      <w:r>
        <w:rPr>
          <w:rFonts w:hint="eastAsia" w:ascii="宋体" w:hAnsi="宋体" w:cs="宋体"/>
          <w:b/>
          <w:color w:val="auto"/>
          <w:sz w:val="24"/>
          <w:highlight w:val="none"/>
        </w:rPr>
        <w:t xml:space="preserve">十、</w:t>
      </w:r>
      <w:bookmarkEnd w:id="132"/>
      <w:r>
        <w:rPr>
          <w:rFonts w:hint="eastAsia" w:ascii="宋体" w:hAnsi="宋体" w:cs="宋体"/>
          <w:b/>
          <w:color w:val="auto"/>
          <w:sz w:val="24"/>
          <w:highlight w:val="none"/>
        </w:rPr>
        <w:t xml:space="preserve">企业业绩</w:t>
      </w:r>
      <w:r/>
    </w:p>
    <w:p>
      <w:pPr>
        <w:pStyle w:val="909"/>
        <w:jc w:val="center"/>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投标人承担类似项目业绩一览表</w:t>
      </w:r>
      <w:r/>
    </w:p>
    <w:tbl>
      <w:tblPr>
        <w:tblStyle w:val="6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pStyle w:val="910"/>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3827" w:type="dxa"/>
            <w:vAlign w:val="center"/>
            <w:textDirection w:val="lrTb"/>
            <w:noWrap/>
          </w:tcPr>
          <w:p>
            <w:pPr>
              <w:pStyle w:val="910"/>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2433" w:type="dxa"/>
            <w:vAlign w:val="center"/>
            <w:textDirection w:val="lrTb"/>
            <w:noWrap/>
          </w:tcPr>
          <w:p>
            <w:pPr>
              <w:pStyle w:val="910"/>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采购单位</w:t>
            </w:r>
            <w:r/>
          </w:p>
        </w:tc>
        <w:tc>
          <w:tcPr>
            <w:tcW w:w="1395" w:type="dxa"/>
            <w:vAlign w:val="center"/>
            <w:textDirection w:val="lrTb"/>
            <w:noWrap/>
          </w:tcPr>
          <w:p>
            <w:pPr>
              <w:pStyle w:val="910"/>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合同金额</w:t>
            </w:r>
            <w:r/>
          </w:p>
        </w:tc>
      </w:tr>
      <w:tr>
        <w:trPr>
          <w:jc w:val="center"/>
          <w:trHeight w:val="1510"/>
        </w:trPr>
        <w:tc>
          <w:tcPr>
            <w:tcW w:w="1229" w:type="dxa"/>
            <w:textDirection w:val="lrTb"/>
            <w:noWrap/>
          </w:tcPr>
          <w:p>
            <w:pPr>
              <w:pStyle w:val="910"/>
              <w:jc w:val="center"/>
              <w:spacing w:line="440" w:lineRule="exact"/>
              <w:rPr>
                <w:rFonts w:ascii="宋体" w:hAnsi="宋体" w:cs="宋体"/>
                <w:color w:val="auto"/>
                <w:sz w:val="24"/>
                <w:highlight w:val="none"/>
              </w:rPr>
            </w:pPr>
            <w:r>
              <w:rPr>
                <w:rFonts w:ascii="宋体" w:hAnsi="宋体" w:cs="宋体"/>
                <w:color w:val="auto"/>
                <w:sz w:val="24"/>
                <w:highlight w:val="none"/>
              </w:rPr>
            </w:r>
            <w:r/>
          </w:p>
        </w:tc>
        <w:tc>
          <w:tcPr>
            <w:tcW w:w="3827" w:type="dxa"/>
            <w:vAlign w:val="center"/>
            <w:textDirection w:val="lrTb"/>
            <w:noWrap/>
          </w:tcPr>
          <w:p>
            <w:pPr>
              <w:pStyle w:val="910"/>
              <w:jc w:val="center"/>
              <w:spacing w:line="440" w:lineRule="exact"/>
              <w:rPr>
                <w:rFonts w:ascii="宋体" w:hAnsi="宋体" w:cs="宋体"/>
                <w:color w:val="auto"/>
                <w:sz w:val="24"/>
                <w:highlight w:val="none"/>
              </w:rPr>
            </w:pPr>
            <w:r>
              <w:rPr>
                <w:rFonts w:ascii="宋体" w:hAnsi="宋体" w:cs="宋体"/>
                <w:color w:val="auto"/>
                <w:sz w:val="24"/>
                <w:highlight w:val="none"/>
              </w:rPr>
            </w:r>
            <w:r/>
          </w:p>
        </w:tc>
        <w:tc>
          <w:tcPr>
            <w:tcW w:w="2433" w:type="dxa"/>
            <w:vAlign w:val="center"/>
            <w:textDirection w:val="lrTb"/>
            <w:noWrap/>
          </w:tcPr>
          <w:p>
            <w:pPr>
              <w:pStyle w:val="910"/>
              <w:jc w:val="center"/>
              <w:spacing w:line="440" w:lineRule="exact"/>
              <w:rPr>
                <w:rFonts w:ascii="宋体" w:hAnsi="宋体" w:cs="宋体"/>
                <w:color w:val="auto"/>
                <w:sz w:val="24"/>
                <w:highlight w:val="none"/>
              </w:rPr>
            </w:pPr>
            <w:r>
              <w:rPr>
                <w:rFonts w:ascii="宋体" w:hAnsi="宋体" w:cs="宋体"/>
                <w:color w:val="auto"/>
                <w:sz w:val="24"/>
                <w:highlight w:val="none"/>
              </w:rPr>
            </w:r>
            <w:r/>
          </w:p>
        </w:tc>
        <w:tc>
          <w:tcPr>
            <w:tcW w:w="1395" w:type="dxa"/>
            <w:vAlign w:val="center"/>
            <w:textDirection w:val="lrTb"/>
            <w:noWrap/>
          </w:tcPr>
          <w:p>
            <w:pPr>
              <w:pStyle w:val="910"/>
              <w:jc w:val="center"/>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Height w:val="1510"/>
        </w:trPr>
        <w:tc>
          <w:tcPr>
            <w:tcW w:w="1229" w:type="dxa"/>
            <w:textDirection w:val="lrTb"/>
            <w:noWrap/>
          </w:tcPr>
          <w:p>
            <w:pPr>
              <w:pStyle w:val="910"/>
              <w:jc w:val="center"/>
              <w:spacing w:line="440" w:lineRule="exact"/>
              <w:rPr>
                <w:rFonts w:ascii="宋体" w:hAnsi="宋体" w:cs="宋体"/>
                <w:color w:val="auto"/>
                <w:sz w:val="24"/>
                <w:highlight w:val="none"/>
              </w:rPr>
            </w:pPr>
            <w:r>
              <w:rPr>
                <w:rFonts w:ascii="宋体" w:hAnsi="宋体" w:cs="宋体"/>
                <w:color w:val="auto"/>
                <w:sz w:val="24"/>
                <w:highlight w:val="none"/>
              </w:rPr>
            </w:r>
            <w:r/>
          </w:p>
        </w:tc>
        <w:tc>
          <w:tcPr>
            <w:tcW w:w="3827" w:type="dxa"/>
            <w:vAlign w:val="center"/>
            <w:textDirection w:val="lrTb"/>
            <w:noWrap/>
          </w:tcPr>
          <w:p>
            <w:pPr>
              <w:pStyle w:val="910"/>
              <w:jc w:val="center"/>
              <w:spacing w:line="440" w:lineRule="exact"/>
              <w:rPr>
                <w:rFonts w:ascii="宋体" w:hAnsi="宋体" w:cs="宋体"/>
                <w:color w:val="auto"/>
                <w:sz w:val="24"/>
                <w:highlight w:val="none"/>
              </w:rPr>
            </w:pPr>
            <w:r>
              <w:rPr>
                <w:rFonts w:ascii="宋体" w:hAnsi="宋体" w:cs="宋体"/>
                <w:color w:val="auto"/>
                <w:sz w:val="24"/>
                <w:highlight w:val="none"/>
              </w:rPr>
            </w:r>
            <w:r/>
          </w:p>
        </w:tc>
        <w:tc>
          <w:tcPr>
            <w:tcW w:w="2433" w:type="dxa"/>
            <w:vAlign w:val="center"/>
            <w:textDirection w:val="lrTb"/>
            <w:noWrap/>
          </w:tcPr>
          <w:p>
            <w:pPr>
              <w:pStyle w:val="910"/>
              <w:jc w:val="center"/>
              <w:spacing w:line="440" w:lineRule="exact"/>
              <w:rPr>
                <w:rFonts w:ascii="宋体" w:hAnsi="宋体" w:cs="宋体"/>
                <w:color w:val="auto"/>
                <w:sz w:val="24"/>
                <w:highlight w:val="none"/>
              </w:rPr>
            </w:pPr>
            <w:r>
              <w:rPr>
                <w:rFonts w:ascii="宋体" w:hAnsi="宋体" w:cs="宋体"/>
                <w:color w:val="auto"/>
                <w:sz w:val="24"/>
                <w:highlight w:val="none"/>
              </w:rPr>
            </w:r>
            <w:r/>
          </w:p>
        </w:tc>
        <w:tc>
          <w:tcPr>
            <w:tcW w:w="1395" w:type="dxa"/>
            <w:vAlign w:val="center"/>
            <w:textDirection w:val="lrTb"/>
            <w:noWrap/>
          </w:tcPr>
          <w:p>
            <w:pPr>
              <w:pStyle w:val="910"/>
              <w:jc w:val="center"/>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Height w:val="1510"/>
        </w:trPr>
        <w:tc>
          <w:tcPr>
            <w:tcW w:w="1229" w:type="dxa"/>
            <w:textDirection w:val="lrTb"/>
            <w:noWrap/>
          </w:tcPr>
          <w:p>
            <w:pPr>
              <w:pStyle w:val="910"/>
              <w:jc w:val="center"/>
              <w:spacing w:line="440" w:lineRule="exact"/>
              <w:rPr>
                <w:rFonts w:ascii="宋体" w:hAnsi="宋体" w:cs="宋体"/>
                <w:color w:val="auto"/>
                <w:sz w:val="24"/>
                <w:highlight w:val="none"/>
              </w:rPr>
            </w:pPr>
            <w:r>
              <w:rPr>
                <w:rFonts w:ascii="宋体" w:hAnsi="宋体" w:cs="宋体"/>
                <w:color w:val="auto"/>
                <w:sz w:val="24"/>
                <w:highlight w:val="none"/>
              </w:rPr>
            </w:r>
            <w:r/>
          </w:p>
        </w:tc>
        <w:tc>
          <w:tcPr>
            <w:tcW w:w="3827" w:type="dxa"/>
            <w:vAlign w:val="center"/>
            <w:textDirection w:val="lrTb"/>
            <w:noWrap/>
          </w:tcPr>
          <w:p>
            <w:pPr>
              <w:pStyle w:val="910"/>
              <w:jc w:val="center"/>
              <w:spacing w:line="440" w:lineRule="exact"/>
              <w:rPr>
                <w:rFonts w:ascii="宋体" w:hAnsi="宋体" w:cs="宋体"/>
                <w:color w:val="auto"/>
                <w:sz w:val="24"/>
                <w:highlight w:val="none"/>
              </w:rPr>
            </w:pPr>
            <w:r>
              <w:rPr>
                <w:rFonts w:ascii="宋体" w:hAnsi="宋体" w:cs="宋体"/>
                <w:color w:val="auto"/>
                <w:sz w:val="24"/>
                <w:highlight w:val="none"/>
              </w:rPr>
            </w:r>
            <w:r/>
          </w:p>
        </w:tc>
        <w:tc>
          <w:tcPr>
            <w:tcW w:w="2433" w:type="dxa"/>
            <w:vAlign w:val="center"/>
            <w:textDirection w:val="lrTb"/>
            <w:noWrap/>
          </w:tcPr>
          <w:p>
            <w:pPr>
              <w:pStyle w:val="910"/>
              <w:jc w:val="center"/>
              <w:spacing w:line="440" w:lineRule="exact"/>
              <w:rPr>
                <w:rFonts w:ascii="宋体" w:hAnsi="宋体" w:cs="宋体"/>
                <w:color w:val="auto"/>
                <w:sz w:val="24"/>
                <w:highlight w:val="none"/>
              </w:rPr>
            </w:pPr>
            <w:r>
              <w:rPr>
                <w:rFonts w:ascii="宋体" w:hAnsi="宋体" w:cs="宋体"/>
                <w:color w:val="auto"/>
                <w:sz w:val="24"/>
                <w:highlight w:val="none"/>
              </w:rPr>
            </w:r>
            <w:r/>
          </w:p>
        </w:tc>
        <w:tc>
          <w:tcPr>
            <w:tcW w:w="1395" w:type="dxa"/>
            <w:vAlign w:val="center"/>
            <w:textDirection w:val="lrTb"/>
            <w:noWrap/>
          </w:tcPr>
          <w:p>
            <w:pPr>
              <w:pStyle w:val="910"/>
              <w:jc w:val="center"/>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Height w:val="1525"/>
        </w:trPr>
        <w:tc>
          <w:tcPr>
            <w:tcW w:w="1229" w:type="dxa"/>
            <w:textDirection w:val="lrTb"/>
            <w:noWrap/>
          </w:tcPr>
          <w:p>
            <w:pPr>
              <w:pStyle w:val="910"/>
              <w:jc w:val="center"/>
              <w:spacing w:line="440" w:lineRule="exact"/>
              <w:rPr>
                <w:rFonts w:ascii="宋体" w:hAnsi="宋体" w:cs="宋体"/>
                <w:color w:val="auto"/>
                <w:sz w:val="24"/>
                <w:highlight w:val="none"/>
              </w:rPr>
            </w:pPr>
            <w:r>
              <w:rPr>
                <w:rFonts w:ascii="宋体" w:hAnsi="宋体" w:cs="宋体"/>
                <w:color w:val="auto"/>
                <w:sz w:val="24"/>
                <w:highlight w:val="none"/>
              </w:rPr>
            </w:r>
            <w:r/>
          </w:p>
        </w:tc>
        <w:tc>
          <w:tcPr>
            <w:tcW w:w="3827" w:type="dxa"/>
            <w:vAlign w:val="center"/>
            <w:textDirection w:val="lrTb"/>
            <w:noWrap/>
          </w:tcPr>
          <w:p>
            <w:pPr>
              <w:pStyle w:val="910"/>
              <w:jc w:val="center"/>
              <w:spacing w:line="440" w:lineRule="exact"/>
              <w:rPr>
                <w:rFonts w:ascii="宋体" w:hAnsi="宋体" w:cs="宋体"/>
                <w:color w:val="auto"/>
                <w:sz w:val="24"/>
                <w:highlight w:val="none"/>
              </w:rPr>
            </w:pPr>
            <w:r>
              <w:rPr>
                <w:rFonts w:ascii="宋体" w:hAnsi="宋体" w:cs="宋体"/>
                <w:color w:val="auto"/>
                <w:sz w:val="24"/>
                <w:highlight w:val="none"/>
              </w:rPr>
            </w:r>
            <w:r/>
          </w:p>
        </w:tc>
        <w:tc>
          <w:tcPr>
            <w:tcW w:w="2433" w:type="dxa"/>
            <w:vAlign w:val="center"/>
            <w:textDirection w:val="lrTb"/>
            <w:noWrap/>
          </w:tcPr>
          <w:p>
            <w:pPr>
              <w:pStyle w:val="910"/>
              <w:jc w:val="center"/>
              <w:spacing w:line="440" w:lineRule="exact"/>
              <w:rPr>
                <w:rFonts w:ascii="宋体" w:hAnsi="宋体" w:cs="宋体"/>
                <w:color w:val="auto"/>
                <w:sz w:val="24"/>
                <w:highlight w:val="none"/>
              </w:rPr>
            </w:pPr>
            <w:r>
              <w:rPr>
                <w:rFonts w:ascii="宋体" w:hAnsi="宋体" w:cs="宋体"/>
                <w:color w:val="auto"/>
                <w:sz w:val="24"/>
                <w:highlight w:val="none"/>
              </w:rPr>
            </w:r>
            <w:r/>
          </w:p>
        </w:tc>
        <w:tc>
          <w:tcPr>
            <w:tcW w:w="1395" w:type="dxa"/>
            <w:vAlign w:val="center"/>
            <w:textDirection w:val="lrTb"/>
            <w:noWrap/>
          </w:tcPr>
          <w:p>
            <w:pPr>
              <w:pStyle w:val="910"/>
              <w:jc w:val="center"/>
              <w:spacing w:line="440" w:lineRule="exact"/>
              <w:rPr>
                <w:rFonts w:ascii="宋体" w:hAnsi="宋体" w:cs="宋体"/>
                <w:color w:val="auto"/>
                <w:sz w:val="24"/>
                <w:highlight w:val="none"/>
              </w:rPr>
            </w:pPr>
            <w:r>
              <w:rPr>
                <w:rFonts w:ascii="宋体" w:hAnsi="宋体" w:cs="宋体"/>
                <w:color w:val="auto"/>
                <w:sz w:val="24"/>
                <w:highlight w:val="none"/>
              </w:rPr>
            </w:r>
            <w:r/>
          </w:p>
        </w:tc>
      </w:tr>
    </w:tbl>
    <w:p>
      <w:pPr>
        <w:pStyle w:val="909"/>
        <w:spacing w:line="44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注：请填写此表，并按要求上传业绩资料电子件。</w:t>
      </w:r>
      <w:r/>
    </w:p>
    <w:p>
      <w:pPr>
        <w:pStyle w:val="911"/>
        <w:spacing w:line="440" w:lineRule="exact"/>
        <w:rPr>
          <w:rFonts w:ascii="宋体" w:hAnsi="宋体" w:eastAsia="宋体" w:cs="宋体"/>
          <w:color w:val="auto"/>
          <w:sz w:val="24"/>
          <w:highlight w:val="none"/>
        </w:rPr>
        <w:outlineLvl w:val="1"/>
      </w:pPr>
      <w:r>
        <w:rPr>
          <w:rFonts w:hint="eastAsia" w:ascii="宋体" w:hAnsi="宋体" w:eastAsia="宋体" w:cs="宋体"/>
          <w:color w:val="auto"/>
          <w:sz w:val="24"/>
          <w:highlight w:val="none"/>
        </w:rPr>
        <w:br w:type="page" w:clear="all"/>
      </w:r>
      <w:bookmarkStart w:id="133" w:name="_Toc28140"/>
      <w:r>
        <w:rPr>
          <w:rFonts w:hint="eastAsia" w:ascii="宋体" w:hAnsi="宋体" w:eastAsia="宋体" w:cs="宋体"/>
          <w:color w:val="auto"/>
          <w:sz w:val="24"/>
          <w:highlight w:val="none"/>
        </w:rPr>
        <w:t xml:space="preserve">十一、项目实施</w:t>
      </w:r>
      <w:r/>
    </w:p>
    <w:p>
      <w:pPr>
        <w:pStyle w:val="911"/>
        <w:spacing w:line="440" w:lineRule="exact"/>
        <w:rPr>
          <w:rFonts w:ascii="宋体" w:hAnsi="宋体" w:eastAsia="宋体" w:cs="宋体"/>
          <w:b w:val="0"/>
          <w:color w:val="auto"/>
          <w:sz w:val="24"/>
          <w:highlight w:val="none"/>
        </w:rPr>
        <w:outlineLvl w:val="1"/>
      </w:pPr>
      <w:r>
        <w:rPr>
          <w:rFonts w:hint="eastAsia" w:ascii="宋体" w:hAnsi="宋体" w:eastAsia="宋体" w:cs="宋体"/>
          <w:b w:val="0"/>
          <w:color w:val="auto"/>
          <w:sz w:val="24"/>
          <w:highlight w:val="none"/>
        </w:rPr>
        <w:t xml:space="preserve">根据评分办法自行编制</w:t>
      </w:r>
      <w:r/>
    </w:p>
    <w:p>
      <w:pPr>
        <w:pStyle w:val="911"/>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911"/>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911"/>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911"/>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911"/>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911"/>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911"/>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911"/>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911"/>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911"/>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911"/>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911"/>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911"/>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911"/>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911"/>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911"/>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911"/>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911"/>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911"/>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911"/>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911"/>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911"/>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911"/>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911"/>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911"/>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911"/>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911"/>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911"/>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911"/>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911"/>
        <w:spacing w:line="440" w:lineRule="exact"/>
        <w:rPr>
          <w:rFonts w:ascii="宋体" w:hAnsi="宋体" w:eastAsia="宋体" w:cs="宋体"/>
          <w:color w:val="auto"/>
          <w:sz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ascii="宋体" w:hAnsi="宋体" w:eastAsia="宋体" w:cs="宋体"/>
          <w:color w:val="auto"/>
          <w:sz w:val="24"/>
          <w:highlight w:val="none"/>
        </w:rPr>
      </w:r>
      <w:r/>
    </w:p>
    <w:p>
      <w:pPr>
        <w:pStyle w:val="911"/>
        <w:spacing w:line="440" w:lineRule="exact"/>
        <w:rPr>
          <w:rFonts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十二、服务方案</w:t>
      </w:r>
      <w:r/>
    </w:p>
    <w:p>
      <w:pPr>
        <w:pStyle w:val="911"/>
        <w:spacing w:line="440" w:lineRule="exact"/>
        <w:rPr>
          <w:rFonts w:ascii="宋体" w:hAnsi="宋体" w:eastAsia="宋体" w:cs="宋体"/>
          <w:b w:val="0"/>
          <w:color w:val="auto"/>
          <w:sz w:val="24"/>
          <w:highlight w:val="none"/>
        </w:rPr>
        <w:outlineLvl w:val="1"/>
      </w:pPr>
      <w:r>
        <w:rPr>
          <w:rFonts w:hint="eastAsia" w:ascii="宋体" w:hAnsi="宋体" w:eastAsia="宋体" w:cs="宋体"/>
          <w:b w:val="0"/>
          <w:color w:val="auto"/>
          <w:sz w:val="24"/>
          <w:highlight w:val="none"/>
        </w:rPr>
        <w:t xml:space="preserve">根据评分办法自行编制</w:t>
      </w:r>
      <w:r/>
    </w:p>
    <w:p>
      <w:pPr>
        <w:pStyle w:val="911"/>
        <w:spacing w:line="440" w:lineRule="exact"/>
        <w:rPr>
          <w:rFonts w:ascii="宋体" w:hAnsi="宋体" w:eastAsia="宋体" w:cs="宋体"/>
          <w:color w:val="auto"/>
          <w:sz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ascii="宋体" w:hAnsi="宋体" w:eastAsia="宋体" w:cs="宋体"/>
          <w:color w:val="auto"/>
          <w:sz w:val="24"/>
          <w:highlight w:val="none"/>
        </w:rPr>
      </w:r>
      <w:r/>
    </w:p>
    <w:p>
      <w:pPr>
        <w:pStyle w:val="911"/>
        <w:spacing w:line="440" w:lineRule="exact"/>
        <w:rPr>
          <w:rFonts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十三、投标所需其他材料</w:t>
      </w:r>
      <w:bookmarkEnd w:id="133"/>
      <w:r/>
      <w:r/>
    </w:p>
    <w:p>
      <w:pPr>
        <w:pStyle w:val="912"/>
        <w:ind w:firstLine="56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请在此文档中增加投标所需其他相关内容（包括资格要求、评分办法、采购需求中涉及的证件证明及其它投标人认为有必要提供的资料），如没有请将此空文档上传。</w:t>
      </w:r>
      <w:r/>
    </w:p>
    <w:p>
      <w:pPr>
        <w:spacing w:line="440" w:lineRule="exact"/>
        <w:rPr>
          <w:rFonts w:ascii="宋体" w:hAnsi="宋体" w:cs="宋体"/>
          <w:color w:val="auto"/>
          <w:sz w:val="24"/>
          <w:highlight w:val="none"/>
        </w:rPr>
      </w:pPr>
      <w:r>
        <w:rPr>
          <w:rFonts w:ascii="宋体" w:hAnsi="宋体" w:cs="宋体"/>
          <w:color w:val="auto"/>
          <w:sz w:val="24"/>
          <w:highlight w:val="none"/>
        </w:rPr>
      </w:r>
      <w:r/>
    </w:p>
    <w:p>
      <w:pPr>
        <w:spacing w:line="440" w:lineRule="exact"/>
        <w:rPr>
          <w:rFonts w:ascii="宋体" w:hAnsi="宋体" w:cs="宋体"/>
          <w:color w:val="auto"/>
          <w:sz w:val="24"/>
          <w:highlight w:val="none"/>
        </w:rPr>
      </w:pPr>
      <w:r>
        <w:rPr>
          <w:rFonts w:ascii="宋体" w:hAnsi="宋体" w:cs="宋体"/>
          <w:color w:val="auto"/>
          <w:sz w:val="24"/>
          <w:highlight w:val="none"/>
        </w:rPr>
      </w:r>
      <w:bookmarkEnd w:id="124"/>
      <w:r/>
    </w:p>
    <w:p>
      <w:pPr>
        <w:spacing w:line="440" w:lineRule="exact"/>
        <w:rPr>
          <w:rFonts w:ascii="宋体" w:hAnsi="宋体" w:cs="宋体"/>
          <w:color w:val="auto"/>
          <w:sz w:val="24"/>
          <w:highlight w:val="none"/>
        </w:rPr>
      </w:pPr>
      <w:r>
        <w:rPr>
          <w:rFonts w:ascii="宋体" w:hAnsi="宋体" w:cs="宋体"/>
          <w:color w:val="auto"/>
          <w:sz w:val="24"/>
          <w:highlight w:val="none"/>
        </w:rPr>
      </w:r>
      <w:r/>
    </w:p>
    <w:p>
      <w:pPr>
        <w:spacing w:line="440" w:lineRule="exact"/>
        <w:rPr>
          <w:rFonts w:ascii="宋体" w:hAnsi="宋体" w:cs="宋体"/>
          <w:color w:val="auto"/>
          <w:sz w:val="24"/>
          <w:highlight w:val="none"/>
        </w:rPr>
      </w:pPr>
      <w:r>
        <w:rPr>
          <w:rFonts w:ascii="宋体" w:hAnsi="宋体" w:cs="宋体"/>
          <w:color w:val="auto"/>
          <w:sz w:val="24"/>
          <w:highlight w:val="none"/>
        </w:rPr>
      </w:r>
      <w:r/>
    </w:p>
    <w:p>
      <w:pPr>
        <w:spacing w:line="440" w:lineRule="exact"/>
        <w:rPr>
          <w:rFonts w:ascii="宋体" w:hAnsi="宋体" w:cs="宋体"/>
          <w:color w:val="auto"/>
          <w:sz w:val="24"/>
          <w:highlight w:val="none"/>
        </w:rPr>
      </w:pPr>
      <w:r>
        <w:rPr>
          <w:rFonts w:ascii="宋体" w:hAnsi="宋体" w:cs="宋体"/>
          <w:color w:val="auto"/>
          <w:sz w:val="24"/>
          <w:highlight w:val="none"/>
        </w:rPr>
      </w:r>
      <w:r/>
    </w:p>
    <w:p>
      <w:pPr>
        <w:spacing w:line="440" w:lineRule="exact"/>
        <w:rPr>
          <w:rFonts w:ascii="宋体" w:hAnsi="宋体" w:cs="宋体"/>
          <w:color w:val="auto"/>
          <w:sz w:val="24"/>
          <w:highlight w:val="none"/>
        </w:rPr>
      </w:pPr>
      <w:r>
        <w:rPr>
          <w:rFonts w:ascii="宋体" w:hAnsi="宋体" w:cs="宋体"/>
          <w:color w:val="auto"/>
          <w:sz w:val="24"/>
          <w:highlight w:val="none"/>
        </w:rPr>
      </w:r>
      <w:r/>
    </w:p>
    <w:p>
      <w:pPr>
        <w:spacing w:line="440" w:lineRule="exact"/>
        <w:rPr>
          <w:rFonts w:ascii="宋体" w:hAnsi="宋体" w:cs="宋体"/>
          <w:color w:val="auto"/>
          <w:sz w:val="24"/>
          <w:highlight w:val="none"/>
        </w:rPr>
      </w:pPr>
      <w:r>
        <w:rPr>
          <w:rFonts w:ascii="宋体" w:hAnsi="宋体" w:cs="宋体"/>
          <w:color w:val="auto"/>
          <w:sz w:val="24"/>
          <w:highlight w:val="none"/>
        </w:rPr>
      </w:r>
      <w:r/>
    </w:p>
    <w:p>
      <w:pPr>
        <w:spacing w:line="440" w:lineRule="exact"/>
        <w:rPr>
          <w:rFonts w:ascii="宋体" w:hAnsi="宋体" w:cs="宋体"/>
          <w:color w:val="auto"/>
          <w:sz w:val="24"/>
          <w:highlight w:val="none"/>
        </w:rPr>
      </w:pPr>
      <w:r>
        <w:rPr>
          <w:rFonts w:ascii="宋体" w:hAnsi="宋体" w:cs="宋体"/>
          <w:color w:val="auto"/>
          <w:sz w:val="24"/>
          <w:highlight w:val="none"/>
        </w:rPr>
      </w:r>
      <w:r/>
    </w:p>
    <w:p>
      <w:pPr>
        <w:pStyle w:val="887"/>
        <w:ind w:firstLine="0"/>
        <w:spacing w:line="440" w:lineRule="exact"/>
        <w:rPr>
          <w:rFonts w:ascii="宋体" w:hAnsi="宋体" w:cs="宋体"/>
          <w:color w:val="auto"/>
          <w:sz w:val="24"/>
          <w:highlight w:val="none"/>
        </w:rPr>
      </w:pPr>
      <w:r/>
      <w:bookmarkStart w:id="134" w:name="_Hlt26955066"/>
      <w:r/>
      <w:bookmarkEnd w:id="134"/>
      <w:r/>
      <w:bookmarkStart w:id="135" w:name="_Hlt26609389"/>
      <w:r/>
      <w:bookmarkEnd w:id="135"/>
      <w:r/>
      <w:bookmarkStart w:id="136" w:name="_Hlt26671374"/>
      <w:r/>
      <w:bookmarkEnd w:id="136"/>
      <w:r/>
      <w:bookmarkStart w:id="137" w:name="_Toc462564146"/>
      <w:r/>
      <w:r/>
    </w:p>
    <w:p>
      <w:pPr>
        <w:spacing w:line="440" w:lineRule="exact"/>
        <w:rPr>
          <w:rFonts w:ascii="宋体" w:hAnsi="宋体" w:cs="宋体"/>
          <w:color w:val="auto"/>
          <w:sz w:val="24"/>
          <w:highlight w:val="none"/>
        </w:rPr>
      </w:pPr>
      <w:r>
        <w:rPr>
          <w:rFonts w:ascii="宋体" w:hAnsi="宋体" w:cs="宋体"/>
          <w:color w:val="auto"/>
          <w:sz w:val="24"/>
          <w:highlight w:val="none"/>
        </w:rPr>
      </w:r>
      <w:r/>
    </w:p>
    <w:p>
      <w:pPr>
        <w:pStyle w:val="897"/>
        <w:spacing w:line="44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97"/>
        <w:spacing w:line="44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bookmarkEnd w:id="137"/>
      <w:r/>
    </w:p>
    <w:p>
      <w:pPr>
        <w:pStyle w:val="897"/>
        <w:spacing w:line="44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97"/>
        <w:spacing w:line="44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97"/>
        <w:spacing w:line="44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97"/>
        <w:spacing w:line="44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440" w:lineRule="exact"/>
        <w:rPr>
          <w:rFonts w:ascii="宋体" w:hAnsi="宋体" w:cs="宋体"/>
          <w:b/>
          <w:bCs/>
          <w:color w:val="auto"/>
          <w:sz w:val="24"/>
          <w:highlight w:val="none"/>
        </w:rPr>
      </w:pPr>
      <w:r/>
      <w:bookmarkStart w:id="138" w:name="_格式2__法定代表人授权书"/>
      <w:r/>
      <w:bookmarkEnd w:id="138"/>
      <w:r>
        <w:rPr>
          <w:rFonts w:hint="eastAsia" w:ascii="宋体" w:hAnsi="宋体" w:cs="宋体"/>
          <w:b/>
          <w:color w:val="auto"/>
          <w:sz w:val="24"/>
          <w:highlight w:val="none"/>
        </w:rPr>
        <w:br w:type="page" w:clear="all"/>
      </w:r>
      <w:r>
        <w:rPr>
          <w:rFonts w:hint="eastAsia" w:ascii="宋体" w:hAnsi="宋体" w:cs="宋体"/>
          <w:b/>
          <w:bCs/>
          <w:color w:val="auto"/>
          <w:sz w:val="24"/>
          <w:highlight w:val="none"/>
        </w:rPr>
        <w:t xml:space="preserve">质疑函范本</w:t>
      </w:r>
      <w:r/>
    </w:p>
    <w:p>
      <w:pPr>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一、质疑投标人基本信息</w:t>
      </w:r>
      <w:r/>
    </w:p>
    <w:p>
      <w:pPr>
        <w:spacing w:line="440" w:lineRule="exact"/>
        <w:rPr>
          <w:rFonts w:ascii="宋体" w:hAnsi="宋体" w:cs="宋体"/>
          <w:color w:val="auto"/>
          <w:sz w:val="24"/>
          <w:highlight w:val="none"/>
          <w:u w:val="single"/>
        </w:rPr>
      </w:pPr>
      <w:r>
        <w:rPr>
          <w:rFonts w:hint="eastAsia" w:ascii="宋体" w:hAnsi="宋体" w:cs="宋体"/>
          <w:color w:val="auto"/>
          <w:sz w:val="24"/>
          <w:highlight w:val="none"/>
        </w:rPr>
        <w:t xml:space="preserve">质疑投标人：</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地址：邮编：</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联系人：联系电话：</w:t>
      </w:r>
      <w:r/>
    </w:p>
    <w:p>
      <w:pPr>
        <w:spacing w:line="440" w:lineRule="exact"/>
        <w:rPr>
          <w:rFonts w:ascii="宋体" w:hAnsi="宋体" w:cs="宋体"/>
          <w:color w:val="auto"/>
          <w:sz w:val="24"/>
          <w:highlight w:val="none"/>
          <w:u w:val="single"/>
        </w:rPr>
      </w:pPr>
      <w:r>
        <w:rPr>
          <w:rFonts w:hint="eastAsia" w:ascii="宋体" w:hAnsi="宋体" w:cs="宋体"/>
          <w:color w:val="auto"/>
          <w:sz w:val="24"/>
          <w:highlight w:val="none"/>
        </w:rPr>
        <w:t xml:space="preserve">授权代表：</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联系电话：</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地址： 邮编：</w:t>
      </w:r>
      <w:r/>
    </w:p>
    <w:p>
      <w:pPr>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二、质疑项目基本情况</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质疑项目的名称：</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质疑项目的编号：包号：</w:t>
      </w:r>
      <w:r/>
    </w:p>
    <w:p>
      <w:pPr>
        <w:spacing w:line="440" w:lineRule="exact"/>
        <w:rPr>
          <w:rFonts w:ascii="宋体" w:hAnsi="宋体" w:cs="宋体"/>
          <w:color w:val="auto"/>
          <w:sz w:val="24"/>
          <w:highlight w:val="none"/>
          <w:u w:val="single"/>
        </w:rPr>
      </w:pPr>
      <w:r>
        <w:rPr>
          <w:rFonts w:hint="eastAsia" w:ascii="宋体" w:hAnsi="宋体" w:cs="宋体"/>
          <w:color w:val="auto"/>
          <w:sz w:val="24"/>
          <w:highlight w:val="none"/>
        </w:rPr>
        <w:t xml:space="preserve">采购人名称：</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采购文件获取日期：</w:t>
      </w:r>
      <w:r/>
    </w:p>
    <w:p>
      <w:pPr>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三、质疑事项具体内容</w:t>
      </w:r>
      <w:r/>
    </w:p>
    <w:p>
      <w:pPr>
        <w:spacing w:line="440" w:lineRule="exact"/>
        <w:rPr>
          <w:rFonts w:ascii="宋体" w:hAnsi="宋体" w:cs="宋体"/>
          <w:color w:val="auto"/>
          <w:sz w:val="24"/>
          <w:highlight w:val="none"/>
          <w:u w:val="single"/>
        </w:rPr>
      </w:pPr>
      <w:r>
        <w:rPr>
          <w:rFonts w:hint="eastAsia" w:ascii="宋体" w:hAnsi="宋体" w:cs="宋体"/>
          <w:color w:val="auto"/>
          <w:sz w:val="24"/>
          <w:highlight w:val="none"/>
        </w:rPr>
        <w:t xml:space="preserve">质疑事项1：</w:t>
      </w:r>
      <w:r/>
    </w:p>
    <w:p>
      <w:pPr>
        <w:spacing w:line="440" w:lineRule="exact"/>
        <w:rPr>
          <w:rFonts w:ascii="宋体" w:hAnsi="宋体" w:cs="宋体"/>
          <w:color w:val="auto"/>
          <w:sz w:val="24"/>
          <w:highlight w:val="none"/>
          <w:u w:val="single"/>
        </w:rPr>
      </w:pPr>
      <w:r>
        <w:rPr>
          <w:rFonts w:hint="eastAsia" w:ascii="宋体" w:hAnsi="宋体" w:cs="宋体"/>
          <w:color w:val="auto"/>
          <w:sz w:val="24"/>
          <w:highlight w:val="none"/>
        </w:rPr>
        <w:t xml:space="preserve">事实依据：</w:t>
      </w:r>
      <w:r/>
    </w:p>
    <w:p>
      <w:pPr>
        <w:spacing w:line="440" w:lineRule="exact"/>
        <w:rPr>
          <w:rFonts w:ascii="宋体" w:hAnsi="宋体" w:cs="宋体"/>
          <w:color w:val="auto"/>
          <w:sz w:val="24"/>
          <w:highlight w:val="none"/>
        </w:rPr>
      </w:pPr>
      <w:r>
        <w:rPr>
          <w:rFonts w:ascii="宋体" w:hAnsi="宋体" w:cs="宋体"/>
          <w:color w:val="auto"/>
          <w:sz w:val="24"/>
          <w:highlight w:val="none"/>
        </w:rPr>
      </w:r>
      <w:r/>
    </w:p>
    <w:p>
      <w:pPr>
        <w:spacing w:line="440" w:lineRule="exact"/>
        <w:rPr>
          <w:rFonts w:ascii="宋体" w:hAnsi="宋体" w:cs="宋体"/>
          <w:color w:val="auto"/>
          <w:sz w:val="24"/>
          <w:highlight w:val="none"/>
          <w:u w:val="single"/>
        </w:rPr>
      </w:pPr>
      <w:r>
        <w:rPr>
          <w:rFonts w:hint="eastAsia" w:ascii="宋体" w:hAnsi="宋体" w:cs="宋体"/>
          <w:color w:val="auto"/>
          <w:sz w:val="24"/>
          <w:highlight w:val="none"/>
        </w:rPr>
        <w:t xml:space="preserve">法律依据：</w:t>
      </w:r>
      <w:r/>
    </w:p>
    <w:p>
      <w:pPr>
        <w:spacing w:line="440" w:lineRule="exact"/>
        <w:rPr>
          <w:rFonts w:ascii="宋体" w:hAnsi="宋体" w:cs="宋体"/>
          <w:color w:val="auto"/>
          <w:sz w:val="24"/>
          <w:highlight w:val="none"/>
          <w:u w:val="single"/>
        </w:rPr>
      </w:pPr>
      <w:r>
        <w:rPr>
          <w:rFonts w:ascii="宋体" w:hAnsi="宋体" w:cs="宋体"/>
          <w:color w:val="auto"/>
          <w:sz w:val="24"/>
          <w:highlight w:val="none"/>
          <w:u w:val="single"/>
        </w:rPr>
      </w:r>
      <w:r/>
    </w:p>
    <w:p>
      <w:pPr>
        <w:spacing w:line="440" w:lineRule="exact"/>
        <w:rPr>
          <w:rFonts w:ascii="宋体" w:hAnsi="宋体" w:cs="宋体"/>
          <w:color w:val="auto"/>
          <w:sz w:val="24"/>
          <w:highlight w:val="none"/>
          <w:u w:val="single"/>
        </w:rPr>
      </w:pPr>
      <w:r>
        <w:rPr>
          <w:rFonts w:hint="eastAsia" w:ascii="宋体" w:hAnsi="宋体" w:cs="宋体"/>
          <w:color w:val="auto"/>
          <w:sz w:val="24"/>
          <w:highlight w:val="none"/>
        </w:rPr>
        <w:t xml:space="preserve">质疑事项2</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四、与质疑事项相关的质疑请求</w:t>
      </w:r>
      <w:r/>
    </w:p>
    <w:p>
      <w:pPr>
        <w:spacing w:line="440" w:lineRule="exact"/>
        <w:rPr>
          <w:rFonts w:ascii="宋体" w:hAnsi="宋体" w:cs="宋体"/>
          <w:color w:val="auto"/>
          <w:sz w:val="24"/>
          <w:highlight w:val="none"/>
          <w:u w:val="single"/>
        </w:rPr>
      </w:pPr>
      <w:r>
        <w:rPr>
          <w:rFonts w:hint="eastAsia" w:ascii="宋体" w:hAnsi="宋体" w:cs="宋体"/>
          <w:color w:val="auto"/>
          <w:sz w:val="24"/>
          <w:highlight w:val="none"/>
        </w:rPr>
        <w:t xml:space="preserve">请求：</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签字(签章)：                   公章：                      </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日期：    </w:t>
      </w:r>
      <w:r/>
    </w:p>
    <w:p>
      <w:pPr>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质疑函制作说明：</w:t>
      </w:r>
      <w:r/>
    </w:p>
    <w:p>
      <w:pPr>
        <w:ind w:firstLine="480"/>
        <w:jc w:val="left"/>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1.投标人提出质疑时，应提交质疑函和必要的证明材料。</w:t>
      </w:r>
      <w:r/>
    </w:p>
    <w:p>
      <w:pPr>
        <w:ind w:firstLine="480"/>
        <w:jc w:val="left"/>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3.质疑投标人若对项目的某一分包进行质疑，质疑函中应列明具体分包号。</w:t>
      </w:r>
      <w:r/>
    </w:p>
    <w:p>
      <w:pPr>
        <w:ind w:firstLine="480"/>
        <w:jc w:val="left"/>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4.质疑函的质疑事项应具体、明确，并有必要的事实依据和法律依据。</w:t>
      </w:r>
      <w:r/>
    </w:p>
    <w:p>
      <w:pPr>
        <w:ind w:firstLine="480"/>
        <w:jc w:val="left"/>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5.质疑函的质疑请求应与质疑事项相关。</w:t>
      </w:r>
      <w:r/>
    </w:p>
    <w:p>
      <w:pPr>
        <w:ind w:firstLine="480"/>
        <w:jc w:val="left"/>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887"/>
        <w:spacing w:line="440" w:lineRule="exact"/>
        <w:rPr>
          <w:rFonts w:ascii="宋体" w:hAnsi="宋体" w:cs="宋体"/>
          <w:color w:val="auto"/>
          <w:sz w:val="24"/>
          <w:highlight w:val="none"/>
        </w:rPr>
      </w:pPr>
      <w:r>
        <w:rPr>
          <w:rFonts w:ascii="宋体" w:hAnsi="宋体" w:cs="宋体"/>
          <w:color w:val="auto"/>
          <w:sz w:val="24"/>
          <w:highlight w:val="none"/>
        </w:rPr>
      </w:r>
      <w:r/>
    </w:p>
    <w:p>
      <w:pPr>
        <w:pStyle w:val="887"/>
        <w:spacing w:line="440" w:lineRule="exact"/>
        <w:rPr>
          <w:rFonts w:ascii="宋体" w:hAnsi="宋体" w:cs="宋体"/>
          <w:color w:val="auto"/>
          <w:sz w:val="24"/>
          <w:highlight w:val="none"/>
        </w:rPr>
      </w:pPr>
      <w:r>
        <w:rPr>
          <w:rFonts w:ascii="宋体" w:hAnsi="宋体" w:cs="宋体"/>
          <w:color w:val="auto"/>
          <w:sz w:val="24"/>
          <w:highlight w:val="none"/>
        </w:rPr>
      </w:r>
      <w:r/>
    </w:p>
    <w:p>
      <w:pPr>
        <w:pStyle w:val="863"/>
        <w:spacing w:before="0" w:beforeAutospacing="0" w:after="0" w:afterAutospacing="0" w:line="440" w:lineRule="exact"/>
        <w:widowControl/>
        <w:rPr>
          <w:rFonts w:ascii="宋体" w:hAnsi="宋体" w:cs="宋体"/>
          <w:color w:val="auto"/>
          <w:highlight w:val="none"/>
        </w:rPr>
      </w:pPr>
      <w:r>
        <w:rPr>
          <w:rFonts w:ascii="宋体" w:hAnsi="宋体" w:cs="宋体"/>
          <w:color w:val="auto"/>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Cambria Math">
    <w:panose1 w:val="02040503050406030204"/>
  </w:font>
  <w:font w:name="Wingdings">
    <w:panose1 w:val="05000000000000000000"/>
  </w:font>
  <w:font w:name="华文楷体">
    <w:panose1 w:val="02010600040101010101"/>
  </w:font>
  <w:font w:name="Courier New">
    <w:panose1 w:val="02070309020205020404"/>
  </w:font>
  <w:font w:name="幼圆">
    <w:panose1 w:val="02010509060101010101"/>
  </w:font>
  <w:font w:name="黑体">
    <w:panose1 w:val="02010609060101010101"/>
  </w:font>
  <w:font w:name="仿宋_GB2312">
    <w:panose1 w:val="02010609060101010101"/>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672"/>
                          </w:pPr>
                          <w:r>
                            <w:fldChar w:fldCharType="begin"/>
                          </w:r>
                          <w:r>
                            <w:instrText xml:space="preserve"> PAGE  \* MERGEFORMAT </w:instrText>
                          </w:r>
                          <w:r>
                            <w:fldChar w:fldCharType="separate"/>
                          </w:r>
                          <w:r>
                            <w:t xml:space="preserve">27</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72"/>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651">
    <w:name w:val="Heading 1"/>
    <w:basedOn w:val="650"/>
    <w:next w:val="650"/>
    <w:link w:val="706"/>
    <w:uiPriority w:val="9"/>
    <w:qFormat/>
    <w:pPr>
      <w:keepLines/>
      <w:keepNext/>
      <w:spacing w:before="480" w:after="200"/>
      <w:outlineLvl w:val="0"/>
    </w:pPr>
    <w:rPr>
      <w:rFonts w:ascii="Arial" w:hAnsi="Arial" w:eastAsia="Arial" w:cs="Arial"/>
      <w:sz w:val="40"/>
      <w:szCs w:val="40"/>
    </w:rPr>
  </w:style>
  <w:style w:type="paragraph" w:styleId="652">
    <w:name w:val="Heading 2"/>
    <w:basedOn w:val="650"/>
    <w:next w:val="650"/>
    <w:link w:val="707"/>
    <w:uiPriority w:val="9"/>
    <w:unhideWhenUsed/>
    <w:qFormat/>
    <w:pPr>
      <w:keepLines/>
      <w:keepNext/>
      <w:spacing w:before="360" w:after="200"/>
      <w:outlineLvl w:val="1"/>
    </w:pPr>
    <w:rPr>
      <w:rFonts w:ascii="Arial" w:hAnsi="Arial" w:eastAsia="Arial" w:cs="Arial"/>
      <w:sz w:val="34"/>
    </w:rPr>
  </w:style>
  <w:style w:type="paragraph" w:styleId="653">
    <w:name w:val="Heading 3"/>
    <w:basedOn w:val="650"/>
    <w:next w:val="650"/>
    <w:link w:val="708"/>
    <w:uiPriority w:val="9"/>
    <w:unhideWhenUsed/>
    <w:qFormat/>
    <w:pPr>
      <w:keepLines/>
      <w:keepNext/>
      <w:spacing w:before="320" w:after="200"/>
      <w:outlineLvl w:val="2"/>
    </w:pPr>
    <w:rPr>
      <w:rFonts w:ascii="Arial" w:hAnsi="Arial" w:eastAsia="Arial" w:cs="Arial"/>
      <w:sz w:val="30"/>
      <w:szCs w:val="30"/>
    </w:rPr>
  </w:style>
  <w:style w:type="paragraph" w:styleId="654">
    <w:name w:val="Heading 4"/>
    <w:basedOn w:val="650"/>
    <w:next w:val="650"/>
    <w:link w:val="709"/>
    <w:uiPriority w:val="9"/>
    <w:unhideWhenUsed/>
    <w:qFormat/>
    <w:pPr>
      <w:keepLines/>
      <w:keepNext/>
      <w:spacing w:before="320" w:after="200"/>
      <w:outlineLvl w:val="3"/>
    </w:pPr>
    <w:rPr>
      <w:rFonts w:ascii="Arial" w:hAnsi="Arial" w:eastAsia="Arial" w:cs="Arial"/>
      <w:b/>
      <w:bCs/>
      <w:sz w:val="26"/>
      <w:szCs w:val="26"/>
    </w:rPr>
  </w:style>
  <w:style w:type="paragraph" w:styleId="655">
    <w:name w:val="Heading 5"/>
    <w:basedOn w:val="650"/>
    <w:next w:val="650"/>
    <w:link w:val="710"/>
    <w:uiPriority w:val="9"/>
    <w:unhideWhenUsed/>
    <w:qFormat/>
    <w:pPr>
      <w:keepLines/>
      <w:keepNext/>
      <w:spacing w:before="320" w:after="200"/>
      <w:outlineLvl w:val="4"/>
    </w:pPr>
    <w:rPr>
      <w:rFonts w:ascii="Arial" w:hAnsi="Arial" w:eastAsia="Arial" w:cs="Arial"/>
      <w:b/>
      <w:bCs/>
      <w:sz w:val="24"/>
    </w:rPr>
  </w:style>
  <w:style w:type="paragraph" w:styleId="656">
    <w:name w:val="Heading 6"/>
    <w:basedOn w:val="650"/>
    <w:next w:val="650"/>
    <w:link w:val="711"/>
    <w:uiPriority w:val="9"/>
    <w:unhideWhenUsed/>
    <w:qFormat/>
    <w:pPr>
      <w:keepLines/>
      <w:keepNext/>
      <w:spacing w:before="320" w:after="200"/>
      <w:outlineLvl w:val="5"/>
    </w:pPr>
    <w:rPr>
      <w:rFonts w:ascii="Arial" w:hAnsi="Arial" w:eastAsia="Arial" w:cs="Arial"/>
      <w:b/>
      <w:bCs/>
      <w:sz w:val="22"/>
      <w:szCs w:val="22"/>
    </w:rPr>
  </w:style>
  <w:style w:type="paragraph" w:styleId="657">
    <w:name w:val="Heading 7"/>
    <w:basedOn w:val="650"/>
    <w:next w:val="650"/>
    <w:link w:val="712"/>
    <w:uiPriority w:val="9"/>
    <w:unhideWhenUsed/>
    <w:qFormat/>
    <w:pPr>
      <w:keepLines/>
      <w:keepNext/>
      <w:spacing w:before="320" w:after="200"/>
      <w:outlineLvl w:val="6"/>
    </w:pPr>
    <w:rPr>
      <w:rFonts w:ascii="Arial" w:hAnsi="Arial" w:eastAsia="Arial" w:cs="Arial"/>
      <w:b/>
      <w:bCs/>
      <w:i/>
      <w:iCs/>
      <w:sz w:val="22"/>
      <w:szCs w:val="22"/>
    </w:rPr>
  </w:style>
  <w:style w:type="paragraph" w:styleId="658">
    <w:name w:val="Heading 8"/>
    <w:basedOn w:val="650"/>
    <w:next w:val="650"/>
    <w:link w:val="713"/>
    <w:uiPriority w:val="9"/>
    <w:unhideWhenUsed/>
    <w:qFormat/>
    <w:pPr>
      <w:keepLines/>
      <w:keepNext/>
      <w:spacing w:before="320" w:after="200"/>
      <w:outlineLvl w:val="7"/>
    </w:pPr>
    <w:rPr>
      <w:rFonts w:ascii="Arial" w:hAnsi="Arial" w:eastAsia="Arial" w:cs="Arial"/>
      <w:i/>
      <w:iCs/>
      <w:sz w:val="22"/>
      <w:szCs w:val="22"/>
    </w:rPr>
  </w:style>
  <w:style w:type="paragraph" w:styleId="659">
    <w:name w:val="Heading 9"/>
    <w:basedOn w:val="650"/>
    <w:next w:val="650"/>
    <w:link w:val="714"/>
    <w:uiPriority w:val="9"/>
    <w:unhideWhenUsed/>
    <w:qFormat/>
    <w:pPr>
      <w:keepLines/>
      <w:keepNext/>
      <w:spacing w:before="320" w:after="200"/>
      <w:outlineLvl w:val="8"/>
    </w:pPr>
    <w:rPr>
      <w:rFonts w:ascii="Arial" w:hAnsi="Arial" w:eastAsia="Arial" w:cs="Arial"/>
      <w:i/>
      <w:iCs/>
      <w:szCs w:val="21"/>
    </w:rPr>
  </w:style>
  <w:style w:type="character" w:styleId="660" w:default="1">
    <w:name w:val="Default Paragraph Font"/>
    <w:uiPriority w:val="1"/>
    <w:semiHidden/>
    <w:unhideWhenUsed/>
    <w:qFormat/>
  </w:style>
  <w:style w:type="table" w:styleId="661" w:default="1">
    <w:name w:val="Normal Table"/>
    <w:uiPriority w:val="99"/>
    <w:semiHidden/>
    <w:unhideWhenUsed/>
    <w:qFormat/>
    <w:tblPr>
      <w:tblCellMar>
        <w:left w:w="108" w:type="dxa"/>
        <w:top w:w="0" w:type="dxa"/>
        <w:right w:w="108" w:type="dxa"/>
        <w:bottom w:w="0" w:type="dxa"/>
      </w:tblCellMar>
    </w:tblPr>
  </w:style>
  <w:style w:type="paragraph" w:styleId="662">
    <w:name w:val="toc 7"/>
    <w:basedOn w:val="650"/>
    <w:next w:val="650"/>
    <w:uiPriority w:val="39"/>
    <w:unhideWhenUsed/>
    <w:qFormat/>
    <w:pPr>
      <w:ind w:left="1701"/>
      <w:spacing w:after="57"/>
    </w:pPr>
  </w:style>
  <w:style w:type="paragraph" w:styleId="663">
    <w:name w:val="Caption"/>
    <w:basedOn w:val="650"/>
    <w:next w:val="6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4">
    <w:name w:val="Body Text"/>
    <w:basedOn w:val="650"/>
    <w:next w:val="650"/>
    <w:uiPriority w:val="0"/>
    <w:qFormat/>
    <w:rPr>
      <w:rFonts w:ascii="楷体_GB2312" w:hAnsi="Arial" w:eastAsia="楷体_GB2312"/>
      <w:sz w:val="28"/>
      <w:szCs w:val="28"/>
    </w:rPr>
  </w:style>
  <w:style w:type="paragraph" w:styleId="665">
    <w:name w:val="Body Text Indent"/>
    <w:basedOn w:val="650"/>
    <w:next w:val="666"/>
    <w:uiPriority w:val="0"/>
    <w:qFormat/>
    <w:pPr>
      <w:ind w:firstLine="225"/>
    </w:pPr>
    <w:rPr>
      <w:rFonts w:ascii="仿宋_GB2312" w:eastAsia="仿宋_GB2312"/>
      <w:sz w:val="32"/>
    </w:rPr>
  </w:style>
  <w:style w:type="paragraph" w:styleId="666">
    <w:name w:val="envelope return"/>
    <w:basedOn w:val="650"/>
    <w:uiPriority w:val="0"/>
    <w:qFormat/>
    <w:rPr>
      <w:rFonts w:ascii="Arial" w:hAnsi="Arial"/>
    </w:rPr>
  </w:style>
  <w:style w:type="paragraph" w:styleId="667">
    <w:name w:val="toc 5"/>
    <w:basedOn w:val="650"/>
    <w:next w:val="650"/>
    <w:uiPriority w:val="39"/>
    <w:unhideWhenUsed/>
    <w:qFormat/>
    <w:pPr>
      <w:ind w:left="1134"/>
      <w:spacing w:after="57"/>
    </w:pPr>
  </w:style>
  <w:style w:type="paragraph" w:styleId="668">
    <w:name w:val="toc 3"/>
    <w:basedOn w:val="650"/>
    <w:next w:val="650"/>
    <w:uiPriority w:val="39"/>
    <w:unhideWhenUsed/>
    <w:qFormat/>
    <w:pPr>
      <w:ind w:left="567"/>
      <w:spacing w:after="57"/>
    </w:pPr>
  </w:style>
  <w:style w:type="paragraph" w:styleId="669">
    <w:name w:val="Plain Text"/>
    <w:basedOn w:val="650"/>
    <w:uiPriority w:val="0"/>
    <w:qFormat/>
    <w:rPr>
      <w:rFonts w:ascii="宋体" w:hAnsi="Courier New" w:cs="Courier New"/>
    </w:rPr>
  </w:style>
  <w:style w:type="paragraph" w:styleId="670">
    <w:name w:val="toc 8"/>
    <w:basedOn w:val="650"/>
    <w:next w:val="650"/>
    <w:uiPriority w:val="39"/>
    <w:unhideWhenUsed/>
    <w:qFormat/>
    <w:pPr>
      <w:ind w:left="1984"/>
      <w:spacing w:after="57"/>
    </w:pPr>
  </w:style>
  <w:style w:type="paragraph" w:styleId="671">
    <w:name w:val="endnote text"/>
    <w:basedOn w:val="650"/>
    <w:link w:val="852"/>
    <w:uiPriority w:val="99"/>
    <w:semiHidden/>
    <w:unhideWhenUsed/>
    <w:qFormat/>
    <w:rPr>
      <w:sz w:val="20"/>
    </w:rPr>
  </w:style>
  <w:style w:type="paragraph" w:styleId="672">
    <w:name w:val="Footer"/>
    <w:basedOn w:val="650"/>
    <w:link w:val="725"/>
    <w:uiPriority w:val="99"/>
    <w:unhideWhenUsed/>
    <w:qFormat/>
    <w:pPr>
      <w:tabs>
        <w:tab w:val="center" w:pos="7143" w:leader="none"/>
        <w:tab w:val="right" w:pos="14287" w:leader="none"/>
      </w:tabs>
    </w:pPr>
  </w:style>
  <w:style w:type="paragraph" w:styleId="673">
    <w:name w:val="Header"/>
    <w:basedOn w:val="650"/>
    <w:link w:val="723"/>
    <w:uiPriority w:val="99"/>
    <w:unhideWhenUsed/>
    <w:qFormat/>
    <w:pPr>
      <w:tabs>
        <w:tab w:val="center" w:pos="7143" w:leader="none"/>
        <w:tab w:val="right" w:pos="14287" w:leader="none"/>
      </w:tabs>
    </w:pPr>
  </w:style>
  <w:style w:type="paragraph" w:styleId="674">
    <w:name w:val="toc 1"/>
    <w:basedOn w:val="650"/>
    <w:next w:val="650"/>
    <w:uiPriority w:val="39"/>
    <w:unhideWhenUsed/>
    <w:qFormat/>
    <w:pPr>
      <w:spacing w:after="57"/>
    </w:pPr>
  </w:style>
  <w:style w:type="paragraph" w:styleId="675">
    <w:name w:val="toc 4"/>
    <w:basedOn w:val="650"/>
    <w:next w:val="650"/>
    <w:uiPriority w:val="39"/>
    <w:unhideWhenUsed/>
    <w:qFormat/>
    <w:pPr>
      <w:ind w:left="850"/>
      <w:spacing w:after="57"/>
    </w:pPr>
  </w:style>
  <w:style w:type="paragraph" w:styleId="676">
    <w:name w:val="Subtitle"/>
    <w:basedOn w:val="650"/>
    <w:next w:val="650"/>
    <w:link w:val="718"/>
    <w:uiPriority w:val="11"/>
    <w:qFormat/>
    <w:pPr>
      <w:spacing w:before="200" w:after="200"/>
    </w:pPr>
    <w:rPr>
      <w:sz w:val="24"/>
    </w:rPr>
  </w:style>
  <w:style w:type="paragraph" w:styleId="677">
    <w:name w:val="footnote text"/>
    <w:basedOn w:val="650"/>
    <w:link w:val="851"/>
    <w:uiPriority w:val="99"/>
    <w:semiHidden/>
    <w:unhideWhenUsed/>
    <w:qFormat/>
    <w:pPr>
      <w:spacing w:after="40"/>
    </w:pPr>
    <w:rPr>
      <w:sz w:val="18"/>
    </w:rPr>
  </w:style>
  <w:style w:type="paragraph" w:styleId="678">
    <w:name w:val="toc 6"/>
    <w:basedOn w:val="650"/>
    <w:next w:val="650"/>
    <w:uiPriority w:val="39"/>
    <w:unhideWhenUsed/>
    <w:qFormat/>
    <w:pPr>
      <w:ind w:left="1417"/>
      <w:spacing w:after="57"/>
    </w:pPr>
  </w:style>
  <w:style w:type="paragraph" w:styleId="679">
    <w:name w:val="table of figures"/>
    <w:basedOn w:val="650"/>
    <w:next w:val="650"/>
    <w:uiPriority w:val="99"/>
    <w:unhideWhenUsed/>
    <w:qFormat/>
  </w:style>
  <w:style w:type="paragraph" w:styleId="680">
    <w:name w:val="toc 2"/>
    <w:basedOn w:val="650"/>
    <w:next w:val="650"/>
    <w:uiPriority w:val="39"/>
    <w:unhideWhenUsed/>
    <w:qFormat/>
    <w:pPr>
      <w:ind w:left="283"/>
      <w:spacing w:after="57"/>
    </w:pPr>
  </w:style>
  <w:style w:type="paragraph" w:styleId="681">
    <w:name w:val="toc 9"/>
    <w:basedOn w:val="650"/>
    <w:next w:val="650"/>
    <w:uiPriority w:val="39"/>
    <w:unhideWhenUsed/>
    <w:qFormat/>
    <w:pPr>
      <w:ind w:left="2268"/>
      <w:spacing w:after="57"/>
    </w:pPr>
  </w:style>
  <w:style w:type="paragraph" w:styleId="682">
    <w:name w:val="Title"/>
    <w:basedOn w:val="650"/>
    <w:next w:val="650"/>
    <w:link w:val="717"/>
    <w:uiPriority w:val="10"/>
    <w:qFormat/>
    <w:pPr>
      <w:contextualSpacing/>
      <w:spacing w:before="300" w:after="200"/>
    </w:pPr>
    <w:rPr>
      <w:sz w:val="48"/>
      <w:szCs w:val="48"/>
    </w:rPr>
  </w:style>
  <w:style w:type="table" w:styleId="6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4">
    <w:name w:val="endnote reference"/>
    <w:uiPriority w:val="99"/>
    <w:semiHidden/>
    <w:unhideWhenUsed/>
    <w:qFormat/>
    <w:rPr>
      <w:vertAlign w:val="superscript"/>
    </w:rPr>
  </w:style>
  <w:style w:type="character" w:styleId="685">
    <w:name w:val="Hyperlink"/>
    <w:uiPriority w:val="99"/>
    <w:unhideWhenUsed/>
    <w:qFormat/>
    <w:rPr>
      <w:color w:val="0000ff" w:themeColor="hyperlink"/>
      <w:u w:val="single"/>
      <w14:textFill>
        <w14:solidFill>
          <w14:schemeClr w14:val="hlink"/>
        </w14:solidFill>
      </w14:textFill>
    </w:rPr>
  </w:style>
  <w:style w:type="character" w:styleId="686">
    <w:name w:val="footnote reference"/>
    <w:uiPriority w:val="99"/>
    <w:unhideWhenUsed/>
    <w:qFormat/>
    <w:rPr>
      <w:vertAlign w:val="superscript"/>
    </w:rPr>
  </w:style>
  <w:style w:type="character" w:styleId="687" w:customStyle="1">
    <w:name w:val="Heading 1 Char"/>
    <w:basedOn w:val="660"/>
    <w:uiPriority w:val="9"/>
    <w:rPr>
      <w:rFonts w:ascii="Arial" w:hAnsi="Arial" w:eastAsia="Arial" w:cs="Arial"/>
      <w:sz w:val="40"/>
      <w:szCs w:val="40"/>
    </w:rPr>
  </w:style>
  <w:style w:type="character" w:styleId="688" w:customStyle="1">
    <w:name w:val="Heading 2 Char"/>
    <w:basedOn w:val="660"/>
    <w:uiPriority w:val="9"/>
    <w:rPr>
      <w:rFonts w:ascii="Arial" w:hAnsi="Arial" w:eastAsia="Arial" w:cs="Arial"/>
      <w:sz w:val="34"/>
    </w:rPr>
  </w:style>
  <w:style w:type="character" w:styleId="689" w:customStyle="1">
    <w:name w:val="Heading 3 Char"/>
    <w:basedOn w:val="660"/>
    <w:uiPriority w:val="9"/>
    <w:rPr>
      <w:rFonts w:ascii="Arial" w:hAnsi="Arial" w:eastAsia="Arial" w:cs="Arial"/>
      <w:sz w:val="30"/>
      <w:szCs w:val="30"/>
    </w:rPr>
  </w:style>
  <w:style w:type="character" w:styleId="690" w:customStyle="1">
    <w:name w:val="Heading 4 Char"/>
    <w:basedOn w:val="660"/>
    <w:uiPriority w:val="9"/>
    <w:rPr>
      <w:rFonts w:ascii="Arial" w:hAnsi="Arial" w:eastAsia="Arial" w:cs="Arial"/>
      <w:b/>
      <w:bCs/>
      <w:sz w:val="26"/>
      <w:szCs w:val="26"/>
    </w:rPr>
  </w:style>
  <w:style w:type="character" w:styleId="691" w:customStyle="1">
    <w:name w:val="Heading 5 Char"/>
    <w:basedOn w:val="660"/>
    <w:uiPriority w:val="9"/>
    <w:qFormat/>
    <w:rPr>
      <w:rFonts w:ascii="Arial" w:hAnsi="Arial" w:eastAsia="Arial" w:cs="Arial"/>
      <w:b/>
      <w:bCs/>
      <w:sz w:val="24"/>
      <w:szCs w:val="24"/>
    </w:rPr>
  </w:style>
  <w:style w:type="character" w:styleId="692" w:customStyle="1">
    <w:name w:val="Heading 6 Char"/>
    <w:basedOn w:val="660"/>
    <w:uiPriority w:val="9"/>
    <w:qFormat/>
    <w:rPr>
      <w:rFonts w:ascii="Arial" w:hAnsi="Arial" w:eastAsia="Arial" w:cs="Arial"/>
      <w:b/>
      <w:bCs/>
      <w:sz w:val="22"/>
      <w:szCs w:val="22"/>
    </w:rPr>
  </w:style>
  <w:style w:type="character" w:styleId="693" w:customStyle="1">
    <w:name w:val="Heading 7 Char"/>
    <w:basedOn w:val="660"/>
    <w:uiPriority w:val="9"/>
    <w:qFormat/>
    <w:rPr>
      <w:rFonts w:ascii="Arial" w:hAnsi="Arial" w:eastAsia="Arial" w:cs="Arial"/>
      <w:b/>
      <w:bCs/>
      <w:i/>
      <w:iCs/>
      <w:sz w:val="22"/>
      <w:szCs w:val="22"/>
    </w:rPr>
  </w:style>
  <w:style w:type="character" w:styleId="694" w:customStyle="1">
    <w:name w:val="Heading 8 Char"/>
    <w:basedOn w:val="660"/>
    <w:uiPriority w:val="9"/>
    <w:rPr>
      <w:rFonts w:ascii="Arial" w:hAnsi="Arial" w:eastAsia="Arial" w:cs="Arial"/>
      <w:i/>
      <w:iCs/>
      <w:sz w:val="22"/>
      <w:szCs w:val="22"/>
    </w:rPr>
  </w:style>
  <w:style w:type="character" w:styleId="695" w:customStyle="1">
    <w:name w:val="Heading 9 Char"/>
    <w:basedOn w:val="660"/>
    <w:uiPriority w:val="9"/>
    <w:qFormat/>
    <w:rPr>
      <w:rFonts w:ascii="Arial" w:hAnsi="Arial" w:eastAsia="Arial" w:cs="Arial"/>
      <w:i/>
      <w:iCs/>
      <w:sz w:val="21"/>
      <w:szCs w:val="21"/>
    </w:rPr>
  </w:style>
  <w:style w:type="character" w:styleId="696" w:customStyle="1">
    <w:name w:val="Title Char"/>
    <w:basedOn w:val="660"/>
    <w:uiPriority w:val="10"/>
    <w:rPr>
      <w:sz w:val="48"/>
      <w:szCs w:val="48"/>
    </w:rPr>
  </w:style>
  <w:style w:type="character" w:styleId="697" w:customStyle="1">
    <w:name w:val="Subtitle Char"/>
    <w:basedOn w:val="660"/>
    <w:uiPriority w:val="11"/>
    <w:rPr>
      <w:sz w:val="24"/>
      <w:szCs w:val="24"/>
    </w:rPr>
  </w:style>
  <w:style w:type="character" w:styleId="698" w:customStyle="1">
    <w:name w:val="Quote Char"/>
    <w:uiPriority w:val="29"/>
    <w:rPr>
      <w:i/>
    </w:rPr>
  </w:style>
  <w:style w:type="character" w:styleId="699" w:customStyle="1">
    <w:name w:val="Intense Quote Char"/>
    <w:uiPriority w:val="30"/>
    <w:rPr>
      <w:i/>
    </w:rPr>
  </w:style>
  <w:style w:type="character" w:styleId="700" w:customStyle="1">
    <w:name w:val="Header Char"/>
    <w:basedOn w:val="660"/>
    <w:uiPriority w:val="99"/>
    <w:qFormat/>
  </w:style>
  <w:style w:type="character" w:styleId="701" w:customStyle="1">
    <w:name w:val="Caption Char"/>
    <w:uiPriority w:val="99"/>
  </w:style>
  <w:style w:type="character" w:styleId="702" w:customStyle="1">
    <w:name w:val="Footnote Text Char"/>
    <w:uiPriority w:val="99"/>
    <w:rPr>
      <w:sz w:val="18"/>
    </w:rPr>
  </w:style>
  <w:style w:type="character" w:styleId="703" w:customStyle="1">
    <w:name w:val="Endnote Text Char"/>
    <w:uiPriority w:val="99"/>
    <w:qFormat/>
    <w:rPr>
      <w:sz w:val="20"/>
    </w:rPr>
  </w:style>
  <w:style w:type="paragraph" w:styleId="704" w:customStyle="1">
    <w:name w:val="TOC Heading"/>
    <w:uiPriority w:val="39"/>
    <w:unhideWhenUsed/>
    <w:rPr>
      <w:rFonts w:hint="default" w:ascii="Times New Roman" w:hAnsi="Times New Roman" w:eastAsia="宋体" w:cs="Times New Roman"/>
    </w:rPr>
  </w:style>
  <w:style w:type="paragraph" w:styleId="705" w:customStyle="1">
    <w:name w:val="标题二、"/>
    <w:basedOn w:val="650"/>
    <w:uiPriority w:val="99"/>
    <w:qFormat/>
    <w:pPr>
      <w:ind w:firstLine="200"/>
      <w:spacing w:line="360" w:lineRule="auto"/>
      <w:outlineLvl w:val="2"/>
    </w:pPr>
    <w:rPr>
      <w:rFonts w:ascii="宋体" w:hAnsi="宋体"/>
      <w:b/>
      <w:szCs w:val="21"/>
    </w:rPr>
  </w:style>
  <w:style w:type="character" w:styleId="706" w:customStyle="1">
    <w:name w:val="标题 1 Char"/>
    <w:link w:val="651"/>
    <w:uiPriority w:val="9"/>
    <w:qFormat/>
    <w:rPr>
      <w:rFonts w:ascii="Arial" w:hAnsi="Arial" w:eastAsia="Arial" w:cs="Arial"/>
      <w:sz w:val="40"/>
      <w:szCs w:val="40"/>
    </w:rPr>
  </w:style>
  <w:style w:type="character" w:styleId="707" w:customStyle="1">
    <w:name w:val="标题 2 Char"/>
    <w:link w:val="652"/>
    <w:uiPriority w:val="9"/>
    <w:qFormat/>
    <w:rPr>
      <w:rFonts w:ascii="Arial" w:hAnsi="Arial" w:eastAsia="Arial" w:cs="Arial"/>
      <w:sz w:val="34"/>
    </w:rPr>
  </w:style>
  <w:style w:type="character" w:styleId="708" w:customStyle="1">
    <w:name w:val="标题 3 Char"/>
    <w:link w:val="653"/>
    <w:uiPriority w:val="9"/>
    <w:qFormat/>
    <w:rPr>
      <w:rFonts w:ascii="Arial" w:hAnsi="Arial" w:eastAsia="Arial" w:cs="Arial"/>
      <w:sz w:val="30"/>
      <w:szCs w:val="30"/>
    </w:rPr>
  </w:style>
  <w:style w:type="character" w:styleId="709" w:customStyle="1">
    <w:name w:val="标题 4 Char"/>
    <w:link w:val="654"/>
    <w:uiPriority w:val="9"/>
    <w:qFormat/>
    <w:rPr>
      <w:rFonts w:ascii="Arial" w:hAnsi="Arial" w:eastAsia="Arial" w:cs="Arial"/>
      <w:b/>
      <w:bCs/>
      <w:sz w:val="26"/>
      <w:szCs w:val="26"/>
    </w:rPr>
  </w:style>
  <w:style w:type="character" w:styleId="710" w:customStyle="1">
    <w:name w:val="标题 5 Char"/>
    <w:link w:val="655"/>
    <w:uiPriority w:val="9"/>
    <w:qFormat/>
    <w:rPr>
      <w:rFonts w:ascii="Arial" w:hAnsi="Arial" w:eastAsia="Arial" w:cs="Arial"/>
      <w:b/>
      <w:bCs/>
      <w:sz w:val="24"/>
      <w:szCs w:val="24"/>
    </w:rPr>
  </w:style>
  <w:style w:type="character" w:styleId="711" w:customStyle="1">
    <w:name w:val="标题 6 Char"/>
    <w:link w:val="656"/>
    <w:uiPriority w:val="9"/>
    <w:qFormat/>
    <w:rPr>
      <w:rFonts w:ascii="Arial" w:hAnsi="Arial" w:eastAsia="Arial" w:cs="Arial"/>
      <w:b/>
      <w:bCs/>
      <w:sz w:val="22"/>
      <w:szCs w:val="22"/>
    </w:rPr>
  </w:style>
  <w:style w:type="character" w:styleId="712" w:customStyle="1">
    <w:name w:val="标题 7 Char"/>
    <w:link w:val="657"/>
    <w:uiPriority w:val="9"/>
    <w:qFormat/>
    <w:rPr>
      <w:rFonts w:ascii="Arial" w:hAnsi="Arial" w:eastAsia="Arial" w:cs="Arial"/>
      <w:b/>
      <w:bCs/>
      <w:i/>
      <w:iCs/>
      <w:sz w:val="22"/>
      <w:szCs w:val="22"/>
    </w:rPr>
  </w:style>
  <w:style w:type="character" w:styleId="713" w:customStyle="1">
    <w:name w:val="标题 8 Char"/>
    <w:link w:val="658"/>
    <w:uiPriority w:val="9"/>
    <w:qFormat/>
    <w:rPr>
      <w:rFonts w:ascii="Arial" w:hAnsi="Arial" w:eastAsia="Arial" w:cs="Arial"/>
      <w:i/>
      <w:iCs/>
      <w:sz w:val="22"/>
      <w:szCs w:val="22"/>
    </w:rPr>
  </w:style>
  <w:style w:type="character" w:styleId="714" w:customStyle="1">
    <w:name w:val="标题 9 Char"/>
    <w:link w:val="659"/>
    <w:uiPriority w:val="9"/>
    <w:qFormat/>
    <w:rPr>
      <w:rFonts w:ascii="Arial" w:hAnsi="Arial" w:eastAsia="Arial" w:cs="Arial"/>
      <w:i/>
      <w:iCs/>
      <w:sz w:val="21"/>
      <w:szCs w:val="21"/>
    </w:rPr>
  </w:style>
  <w:style w:type="paragraph" w:styleId="715">
    <w:name w:val="List Paragraph"/>
    <w:basedOn w:val="650"/>
    <w:uiPriority w:val="34"/>
    <w:qFormat/>
    <w:pPr>
      <w:contextualSpacing/>
      <w:ind w:left="720"/>
    </w:pPr>
  </w:style>
  <w:style w:type="paragraph" w:styleId="716">
    <w:name w:val="No Spacing"/>
    <w:uiPriority w:val="1"/>
    <w:qFormat/>
    <w:rPr>
      <w:rFonts w:hint="default" w:ascii="Times New Roman" w:hAnsi="Times New Roman" w:eastAsia="宋体" w:cs="Times New Roman"/>
      <w:lang w:val="en-US" w:eastAsia="zh-CN" w:bidi="ar-SA"/>
    </w:rPr>
  </w:style>
  <w:style w:type="character" w:styleId="717" w:customStyle="1">
    <w:name w:val="标题 Char"/>
    <w:link w:val="682"/>
    <w:uiPriority w:val="10"/>
    <w:qFormat/>
    <w:rPr>
      <w:sz w:val="48"/>
      <w:szCs w:val="48"/>
    </w:rPr>
  </w:style>
  <w:style w:type="character" w:styleId="718" w:customStyle="1">
    <w:name w:val="副标题 Char"/>
    <w:link w:val="676"/>
    <w:uiPriority w:val="11"/>
    <w:qFormat/>
    <w:rPr>
      <w:sz w:val="24"/>
      <w:szCs w:val="24"/>
    </w:rPr>
  </w:style>
  <w:style w:type="paragraph" w:styleId="719">
    <w:name w:val="Quote"/>
    <w:basedOn w:val="650"/>
    <w:next w:val="650"/>
    <w:link w:val="720"/>
    <w:uiPriority w:val="29"/>
    <w:qFormat/>
    <w:pPr>
      <w:ind w:left="720" w:right="720"/>
    </w:pPr>
    <w:rPr>
      <w:i/>
    </w:rPr>
  </w:style>
  <w:style w:type="character" w:styleId="720" w:customStyle="1">
    <w:name w:val="引用 Char"/>
    <w:link w:val="719"/>
    <w:uiPriority w:val="29"/>
    <w:qFormat/>
    <w:rPr>
      <w:i/>
    </w:rPr>
  </w:style>
  <w:style w:type="paragraph" w:styleId="721">
    <w:name w:val="Intense Quote"/>
    <w:basedOn w:val="650"/>
    <w:next w:val="650"/>
    <w:link w:val="7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customStyle="1">
    <w:name w:val="明显引用 Char"/>
    <w:link w:val="721"/>
    <w:uiPriority w:val="30"/>
    <w:qFormat/>
    <w:rPr>
      <w:i/>
    </w:rPr>
  </w:style>
  <w:style w:type="character" w:styleId="723" w:customStyle="1">
    <w:name w:val="页眉 Char"/>
    <w:link w:val="673"/>
    <w:uiPriority w:val="99"/>
    <w:qFormat/>
  </w:style>
  <w:style w:type="character" w:styleId="724" w:customStyle="1">
    <w:name w:val="Footer Char"/>
    <w:link w:val="672"/>
    <w:uiPriority w:val="99"/>
    <w:qFormat/>
  </w:style>
  <w:style w:type="character" w:styleId="725" w:customStyle="1">
    <w:name w:val="页脚 Char"/>
    <w:link w:val="672"/>
    <w:uiPriority w:val="99"/>
    <w:qFormat/>
  </w:style>
  <w:style w:type="table" w:styleId="72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7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1" w:customStyle="1">
    <w:name w:val="脚注文本 Char"/>
    <w:link w:val="677"/>
    <w:uiPriority w:val="99"/>
    <w:qFormat/>
    <w:rPr>
      <w:sz w:val="18"/>
    </w:rPr>
  </w:style>
  <w:style w:type="character" w:styleId="852" w:customStyle="1">
    <w:name w:val="尾注文本 Char"/>
    <w:link w:val="671"/>
    <w:uiPriority w:val="99"/>
    <w:qFormat/>
    <w:rPr>
      <w:sz w:val="20"/>
    </w:rPr>
  </w:style>
  <w:style w:type="paragraph" w:styleId="853" w:customStyle="1">
    <w:name w:val="TOC 标题1"/>
    <w:uiPriority w:val="39"/>
    <w:unhideWhenUsed/>
    <w:qFormat/>
    <w:rPr>
      <w:rFonts w:hint="default" w:ascii="Times New Roman" w:hAnsi="Times New Roman" w:eastAsia="宋体" w:cs="Times New Roman"/>
      <w:lang w:val="en-US" w:eastAsia="zh-CN" w:bidi="ar-SA"/>
    </w:rPr>
  </w:style>
  <w:style w:type="paragraph" w:styleId="854" w:customStyle="1">
    <w:name w:val="标题 31"/>
    <w:basedOn w:val="650"/>
    <w:next w:val="650"/>
    <w:uiPriority w:val="0"/>
    <w:qFormat/>
    <w:pPr>
      <w:jc w:val="left"/>
      <w:spacing w:before="100" w:beforeAutospacing="1" w:after="100" w:afterAutospacing="1"/>
      <w:outlineLvl w:val="2"/>
    </w:pPr>
    <w:rPr>
      <w:rFonts w:hint="eastAsia" w:ascii="宋体" w:hAnsi="宋体"/>
      <w:b/>
      <w:bCs/>
      <w:sz w:val="27"/>
      <w:szCs w:val="27"/>
    </w:rPr>
  </w:style>
  <w:style w:type="character" w:styleId="855" w:customStyle="1">
    <w:name w:val="默认段落字体1"/>
    <w:uiPriority w:val="0"/>
    <w:semiHidden/>
    <w:qFormat/>
  </w:style>
  <w:style w:type="table" w:styleId="856" w:customStyle="1">
    <w:name w:val="普通表格1"/>
    <w:uiPriority w:val="0"/>
    <w:semiHidden/>
    <w:qFormat/>
    <w:tblPr>
      <w:tblCellMar>
        <w:left w:w="0" w:type="dxa"/>
        <w:top w:w="0" w:type="dxa"/>
        <w:right w:w="0" w:type="dxa"/>
        <w:bottom w:w="0" w:type="dxa"/>
      </w:tblCellMar>
    </w:tblPr>
  </w:style>
  <w:style w:type="paragraph" w:styleId="857" w:customStyle="1">
    <w:name w:val="正文文本1"/>
    <w:basedOn w:val="650"/>
    <w:next w:val="650"/>
    <w:uiPriority w:val="99"/>
    <w:unhideWhenUsed/>
    <w:qFormat/>
    <w:pPr>
      <w:spacing w:after="120"/>
    </w:pPr>
  </w:style>
  <w:style w:type="paragraph" w:styleId="858" w:customStyle="1">
    <w:name w:val="批注文字1"/>
    <w:basedOn w:val="650"/>
    <w:uiPriority w:val="0"/>
    <w:qFormat/>
    <w:pPr>
      <w:jc w:val="left"/>
    </w:pPr>
  </w:style>
  <w:style w:type="paragraph" w:styleId="859" w:customStyle="1">
    <w:name w:val="页脚1"/>
    <w:basedOn w:val="650"/>
    <w:link w:val="860"/>
    <w:uiPriority w:val="0"/>
    <w:qFormat/>
    <w:pPr>
      <w:jc w:val="left"/>
      <w:tabs>
        <w:tab w:val="center" w:pos="4153" w:leader="none"/>
        <w:tab w:val="right" w:pos="8306" w:leader="none"/>
      </w:tabs>
    </w:pPr>
    <w:rPr>
      <w:sz w:val="18"/>
      <w:szCs w:val="18"/>
    </w:rPr>
  </w:style>
  <w:style w:type="character" w:styleId="860" w:customStyle="1">
    <w:name w:val="页脚 字符"/>
    <w:link w:val="859"/>
    <w:uiPriority w:val="0"/>
    <w:qFormat/>
    <w:rPr>
      <w:rFonts w:ascii="Calibri" w:hAnsi="Calibri"/>
      <w:sz w:val="18"/>
      <w:szCs w:val="18"/>
    </w:rPr>
  </w:style>
  <w:style w:type="paragraph" w:styleId="861" w:customStyle="1">
    <w:name w:val="页眉1"/>
    <w:basedOn w:val="650"/>
    <w:link w:val="862"/>
    <w:uiPriority w:val="0"/>
    <w:qFormat/>
    <w:pPr>
      <w:jc w:val="center"/>
      <w:tabs>
        <w:tab w:val="center" w:pos="4153" w:leader="none"/>
        <w:tab w:val="right" w:pos="8306" w:leader="none"/>
      </w:tabs>
      <w:pBdr>
        <w:bottom w:val="single" w:color="000000" w:sz="6" w:space="1"/>
      </w:pBdr>
    </w:pPr>
    <w:rPr>
      <w:sz w:val="18"/>
      <w:szCs w:val="18"/>
    </w:rPr>
  </w:style>
  <w:style w:type="character" w:styleId="862" w:customStyle="1">
    <w:name w:val="页眉 字符"/>
    <w:link w:val="861"/>
    <w:uiPriority w:val="0"/>
    <w:qFormat/>
    <w:rPr>
      <w:rFonts w:ascii="Calibri" w:hAnsi="Calibri"/>
      <w:sz w:val="18"/>
      <w:szCs w:val="18"/>
    </w:rPr>
  </w:style>
  <w:style w:type="paragraph" w:styleId="863" w:customStyle="1">
    <w:name w:val="普通(网站)1"/>
    <w:basedOn w:val="650"/>
    <w:uiPriority w:val="0"/>
    <w:qFormat/>
    <w:pPr>
      <w:jc w:val="left"/>
      <w:spacing w:before="100" w:beforeAutospacing="1" w:after="100" w:afterAutospacing="1"/>
    </w:pPr>
    <w:rPr>
      <w:sz w:val="24"/>
    </w:rPr>
  </w:style>
  <w:style w:type="table" w:styleId="864" w:customStyle="1">
    <w:name w:val="网格型1"/>
    <w:basedOn w:val="856"/>
    <w:uiPriority w:val="0"/>
    <w:qFormat/>
    <w:tblPr>
      <w:tblCellMar>
        <w:left w:w="0" w:type="dxa"/>
        <w:top w:w="0" w:type="dxa"/>
        <w:right w:w="0" w:type="dxa"/>
        <w:bottom w:w="0" w:type="dxa"/>
      </w:tblCellMar>
    </w:tblPr>
  </w:style>
  <w:style w:type="character" w:styleId="865" w:customStyle="1">
    <w:name w:val="超链接1"/>
    <w:basedOn w:val="855"/>
    <w:uiPriority w:val="0"/>
    <w:qFormat/>
    <w:rPr>
      <w:color w:val="0000ff"/>
      <w:u w:val="single"/>
    </w:rPr>
  </w:style>
  <w:style w:type="paragraph" w:styleId="866"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867"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868" w:customStyle="1">
    <w:name w:val="标题 3_0"/>
    <w:basedOn w:val="869"/>
    <w:next w:val="869"/>
    <w:uiPriority w:val="0"/>
    <w:qFormat/>
    <w:pPr>
      <w:keepLines/>
      <w:keepNext/>
      <w:spacing w:before="260" w:after="260" w:line="413" w:lineRule="auto"/>
      <w:outlineLvl w:val="2"/>
    </w:pPr>
    <w:rPr>
      <w:rFonts w:ascii="Calibri" w:hAnsi="Calibri" w:eastAsia="Times New Roman"/>
      <w:b/>
      <w:sz w:val="32"/>
    </w:rPr>
  </w:style>
  <w:style w:type="paragraph" w:styleId="869" w:customStyle="1">
    <w:name w:val="正文_3_0_1"/>
    <w:uiPriority w:val="0"/>
    <w:qFormat/>
    <w:pPr>
      <w:jc w:val="both"/>
      <w:widowControl w:val="off"/>
    </w:pPr>
    <w:rPr>
      <w:rFonts w:hint="default" w:ascii="Times New Roman" w:hAnsi="Times New Roman" w:eastAsia="宋体" w:cs="Times New Roman"/>
      <w:lang w:val="en-US" w:eastAsia="zh-CN" w:bidi="ar-SA"/>
    </w:rPr>
  </w:style>
  <w:style w:type="paragraph" w:styleId="870" w:customStyle="1">
    <w:name w:val="标题 4_0"/>
    <w:basedOn w:val="871"/>
    <w:next w:val="871"/>
    <w:uiPriority w:val="9"/>
    <w:unhideWhenUsed/>
    <w:qFormat/>
    <w:pPr>
      <w:keepLines/>
      <w:keepNext/>
      <w:spacing w:before="280" w:after="290" w:line="372" w:lineRule="auto"/>
      <w:outlineLvl w:val="3"/>
    </w:pPr>
    <w:rPr>
      <w:rFonts w:ascii="Arial" w:hAnsi="Arial" w:eastAsia="黑体"/>
      <w:b/>
      <w:sz w:val="28"/>
    </w:rPr>
  </w:style>
  <w:style w:type="paragraph" w:styleId="871" w:customStyle="1">
    <w:name w:val="Normal1"/>
    <w:uiPriority w:val="0"/>
    <w:qFormat/>
    <w:pPr>
      <w:jc w:val="both"/>
      <w:widowControl w:val="off"/>
    </w:pPr>
    <w:rPr>
      <w:rFonts w:hint="default" w:ascii="Calibri" w:hAnsi="Calibri" w:eastAsia="宋体" w:cs="Times New Roman"/>
      <w:lang w:val="en-US" w:eastAsia="zh-CN" w:bidi="ar-SA"/>
    </w:rPr>
  </w:style>
  <w:style w:type="paragraph" w:styleId="872" w:customStyle="1">
    <w:name w:val="标题 5_0"/>
    <w:basedOn w:val="871"/>
    <w:next w:val="871"/>
    <w:uiPriority w:val="9"/>
    <w:unhideWhenUsed/>
    <w:qFormat/>
    <w:pPr>
      <w:keepLines/>
      <w:keepNext/>
      <w:spacing w:before="280" w:after="290" w:line="374" w:lineRule="auto"/>
      <w:outlineLvl w:val="4"/>
    </w:pPr>
    <w:rPr>
      <w:rFonts w:eastAsia="Times New Roman"/>
      <w:b/>
      <w:bCs/>
      <w:sz w:val="28"/>
      <w:szCs w:val="28"/>
    </w:rPr>
  </w:style>
  <w:style w:type="paragraph" w:styleId="873" w:customStyle="1">
    <w:name w:val="Normal_20_0_0"/>
    <w:next w:val="874"/>
    <w:uiPriority w:val="0"/>
    <w:qFormat/>
    <w:pPr>
      <w:jc w:val="both"/>
      <w:widowControl w:val="off"/>
    </w:pPr>
    <w:rPr>
      <w:rFonts w:hint="default" w:ascii="Calibri" w:hAnsi="Calibri" w:eastAsia="宋体" w:cs="Times New Roman"/>
      <w:sz w:val="21"/>
      <w:szCs w:val="22"/>
      <w:lang w:val="en-US" w:eastAsia="zh-CN" w:bidi="ar-SA"/>
    </w:rPr>
  </w:style>
  <w:style w:type="paragraph" w:styleId="874" w:customStyle="1">
    <w:name w:val="Heading 1_0_0"/>
    <w:basedOn w:val="873"/>
    <w:next w:val="873"/>
    <w:uiPriority w:val="0"/>
    <w:qFormat/>
    <w:pPr>
      <w:keepLines/>
      <w:keepNext/>
      <w:spacing w:before="340" w:after="330" w:line="576" w:lineRule="auto"/>
      <w:outlineLvl w:val="0"/>
    </w:pPr>
    <w:rPr>
      <w:rFonts w:ascii="Times New Roman" w:hAnsi="Times New Roman"/>
      <w:b/>
      <w:sz w:val="44"/>
      <w:szCs w:val="20"/>
    </w:rPr>
  </w:style>
  <w:style w:type="paragraph" w:styleId="875" w:customStyle="1">
    <w:name w:val="正文_2_0"/>
    <w:basedOn w:val="876"/>
    <w:next w:val="876"/>
    <w:uiPriority w:val="0"/>
    <w:qFormat/>
    <w:rPr>
      <w:rFonts w:cs="Times New Roman"/>
    </w:rPr>
  </w:style>
  <w:style w:type="paragraph" w:styleId="876" w:customStyle="1">
    <w:name w:val="Normal_0_2"/>
    <w:uiPriority w:val="0"/>
    <w:qFormat/>
    <w:pPr>
      <w:jc w:val="both"/>
      <w:widowControl w:val="off"/>
    </w:pPr>
    <w:rPr>
      <w:rFonts w:hint="default" w:ascii="Calibri" w:hAnsi="Calibri" w:eastAsia="宋体" w:cs="Calibri"/>
      <w:sz w:val="21"/>
      <w:szCs w:val="21"/>
      <w:lang w:val="en-US" w:eastAsia="zh-CN" w:bidi="ar-SA"/>
    </w:rPr>
  </w:style>
  <w:style w:type="paragraph" w:styleId="877" w:customStyle="1">
    <w:name w:val="正文_2"/>
    <w:next w:val="878"/>
    <w:uiPriority w:val="0"/>
    <w:qFormat/>
    <w:pPr>
      <w:jc w:val="both"/>
      <w:widowControl w:val="off"/>
    </w:pPr>
    <w:rPr>
      <w:rFonts w:hint="default" w:ascii="Calibri" w:hAnsi="Calibri" w:eastAsia="宋体" w:cs="Times New Roman"/>
      <w:sz w:val="21"/>
      <w:szCs w:val="22"/>
      <w:lang w:val="en-US" w:eastAsia="zh-CN" w:bidi="ar-SA"/>
    </w:rPr>
  </w:style>
  <w:style w:type="paragraph" w:styleId="878" w:customStyle="1">
    <w:name w:val="正文文本_0"/>
    <w:basedOn w:val="879"/>
    <w:next w:val="877"/>
    <w:uiPriority w:val="0"/>
    <w:qFormat/>
    <w:pPr>
      <w:spacing w:after="120"/>
    </w:pPr>
  </w:style>
  <w:style w:type="paragraph" w:styleId="879" w:customStyle="1">
    <w:name w:val="正文_16"/>
    <w:next w:val="880"/>
    <w:uiPriority w:val="0"/>
    <w:qFormat/>
    <w:pPr>
      <w:jc w:val="both"/>
      <w:widowControl w:val="off"/>
    </w:pPr>
    <w:rPr>
      <w:rFonts w:hint="default" w:ascii="Calibri" w:hAnsi="Calibri" w:eastAsia="宋体" w:cs="Times New Roman"/>
      <w:sz w:val="21"/>
      <w:szCs w:val="22"/>
      <w:lang w:val="en-US" w:eastAsia="zh-CN" w:bidi="ar-SA"/>
    </w:rPr>
  </w:style>
  <w:style w:type="paragraph" w:styleId="880" w:customStyle="1">
    <w:name w:val="正文文本 2_0"/>
    <w:basedOn w:val="879"/>
    <w:uiPriority w:val="0"/>
    <w:qFormat/>
    <w:rPr>
      <w:rFonts w:ascii="仿宋_GB2312" w:eastAsia="仿宋_GB2312"/>
      <w:sz w:val="28"/>
    </w:rPr>
  </w:style>
  <w:style w:type="paragraph" w:styleId="881" w:customStyle="1">
    <w:name w:val="标题 1_0"/>
    <w:basedOn w:val="882"/>
    <w:next w:val="882"/>
    <w:uiPriority w:val="0"/>
    <w:qFormat/>
    <w:pPr>
      <w:keepLines/>
      <w:keepNext/>
      <w:spacing w:before="340" w:after="330" w:line="576" w:lineRule="auto"/>
      <w:outlineLvl w:val="0"/>
    </w:pPr>
    <w:rPr>
      <w:rFonts w:ascii="Calibri" w:hAnsi="Calibri"/>
      <w:b/>
      <w:sz w:val="44"/>
      <w:szCs w:val="20"/>
    </w:rPr>
  </w:style>
  <w:style w:type="paragraph" w:styleId="882"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3" w:customStyle="1">
    <w:name w:val="标题 2_0"/>
    <w:basedOn w:val="877"/>
    <w:next w:val="877"/>
    <w:uiPriority w:val="0"/>
    <w:qFormat/>
    <w:pPr>
      <w:keepLines/>
      <w:keepNext/>
      <w:spacing w:before="260" w:after="260" w:line="413" w:lineRule="auto"/>
      <w:outlineLvl w:val="1"/>
    </w:pPr>
    <w:rPr>
      <w:rFonts w:ascii="Arial" w:hAnsi="Arial" w:eastAsia="黑体"/>
      <w:b/>
      <w:sz w:val="32"/>
      <w:szCs w:val="20"/>
    </w:rPr>
  </w:style>
  <w:style w:type="paragraph" w:styleId="884" w:customStyle="1">
    <w:name w:val="正文首行缩进 2_0"/>
    <w:basedOn w:val="885"/>
    <w:uiPriority w:val="0"/>
    <w:qFormat/>
    <w:pPr>
      <w:ind w:left="200" w:firstLine="200"/>
      <w:spacing w:after="120"/>
    </w:pPr>
    <w:rPr>
      <w:rFonts w:ascii="Times New Roman" w:hAnsi="Times New Roman"/>
      <w:sz w:val="24"/>
      <w:szCs w:val="24"/>
    </w:rPr>
  </w:style>
  <w:style w:type="paragraph" w:styleId="885" w:customStyle="1">
    <w:name w:val="正文文本缩进_0"/>
    <w:basedOn w:val="877"/>
    <w:uiPriority w:val="0"/>
    <w:qFormat/>
    <w:pPr>
      <w:ind w:firstLine="225"/>
    </w:pPr>
    <w:rPr>
      <w:rFonts w:ascii="仿宋_GB2312" w:eastAsia="仿宋_GB2312"/>
      <w:sz w:val="32"/>
    </w:rPr>
  </w:style>
  <w:style w:type="paragraph" w:styleId="886" w:customStyle="1">
    <w:name w:val="标题 41"/>
    <w:basedOn w:val="650"/>
    <w:next w:val="887"/>
    <w:uiPriority w:val="0"/>
    <w:qFormat/>
    <w:pPr>
      <w:keepLines/>
      <w:keepNext/>
      <w:spacing w:before="280" w:after="290" w:line="376" w:lineRule="auto"/>
      <w:outlineLvl w:val="3"/>
    </w:pPr>
    <w:rPr>
      <w:rFonts w:ascii="Arial" w:hAnsi="Arial" w:eastAsia="黑体" w:cs="Arial"/>
      <w:b/>
      <w:bCs/>
      <w:sz w:val="28"/>
      <w:szCs w:val="28"/>
    </w:rPr>
  </w:style>
  <w:style w:type="paragraph" w:styleId="887" w:customStyle="1">
    <w:name w:val="正文缩进1"/>
    <w:basedOn w:val="650"/>
    <w:next w:val="650"/>
    <w:uiPriority w:val="0"/>
    <w:qFormat/>
    <w:pPr>
      <w:ind w:firstLine="420"/>
    </w:pPr>
  </w:style>
  <w:style w:type="paragraph" w:styleId="888" w:customStyle="1">
    <w:name w:val="正文_2_1_0"/>
    <w:uiPriority w:val="0"/>
    <w:qFormat/>
    <w:pPr>
      <w:jc w:val="both"/>
      <w:widowControl w:val="off"/>
    </w:pPr>
    <w:rPr>
      <w:rFonts w:hint="default" w:ascii="Calibri" w:hAnsi="Calibri" w:eastAsia="宋体" w:cs="Times New Roman"/>
      <w:lang w:val="en-US" w:eastAsia="zh-CN" w:bidi="ar-SA"/>
    </w:rPr>
  </w:style>
  <w:style w:type="paragraph" w:styleId="889" w:customStyle="1">
    <w:name w:val="Normal_19"/>
    <w:basedOn w:val="875"/>
    <w:uiPriority w:val="0"/>
    <w:qFormat/>
  </w:style>
  <w:style w:type="paragraph" w:styleId="890" w:customStyle="1">
    <w:name w:val="无间隔1_0_0"/>
    <w:basedOn w:val="889"/>
    <w:uiPriority w:val="0"/>
    <w:qFormat/>
    <w:pPr>
      <w:spacing w:line="400" w:lineRule="exact"/>
    </w:pPr>
    <w:rPr>
      <w:rFonts w:ascii="Times New Roman" w:hAnsi="Times New Roman" w:eastAsia="Times New Roman"/>
      <w:color w:val="000000"/>
      <w:sz w:val="24"/>
      <w:szCs w:val="24"/>
    </w:rPr>
  </w:style>
  <w:style w:type="paragraph" w:styleId="89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92" w:customStyle="1">
    <w:name w:val="列出段落1"/>
    <w:basedOn w:val="650"/>
    <w:uiPriority w:val="0"/>
    <w:qFormat/>
    <w:pPr>
      <w:contextualSpacing/>
      <w:ind w:left="720"/>
      <w:jc w:val="left"/>
      <w:widowControl/>
    </w:pPr>
    <w:rPr>
      <w:sz w:val="24"/>
      <w:lang w:eastAsia="en-US" w:bidi="en-US"/>
    </w:rPr>
  </w:style>
  <w:style w:type="paragraph" w:styleId="893" w:customStyle="1">
    <w:name w:val="正文文本11"/>
    <w:basedOn w:val="650"/>
    <w:next w:val="887"/>
    <w:uiPriority w:val="0"/>
    <w:qFormat/>
    <w:rPr>
      <w:rFonts w:ascii="楷体_GB2312" w:hAnsi="Arial" w:eastAsia="楷体_GB2312"/>
      <w:sz w:val="28"/>
      <w:szCs w:val="28"/>
    </w:rPr>
  </w:style>
  <w:style w:type="paragraph" w:styleId="894" w:customStyle="1">
    <w:name w:val="目录 11"/>
    <w:basedOn w:val="650"/>
    <w:next w:val="650"/>
    <w:uiPriority w:val="0"/>
    <w:semiHidden/>
    <w:qFormat/>
    <w:pPr>
      <w:jc w:val="left"/>
      <w:spacing w:before="120" w:after="120" w:line="400" w:lineRule="exact"/>
      <w:tabs>
        <w:tab w:val="right" w:pos="8720" w:leader="dot"/>
      </w:tabs>
    </w:pPr>
    <w:rPr>
      <w:rFonts w:ascii="宋体" w:hAnsi="宋体"/>
      <w:caps/>
      <w:sz w:val="24"/>
    </w:rPr>
  </w:style>
  <w:style w:type="paragraph" w:styleId="89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896"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897" w:customStyle="1">
    <w:name w:val="正文空2字"/>
    <w:basedOn w:val="898"/>
    <w:uiPriority w:val="99"/>
    <w:qFormat/>
    <w:pPr>
      <w:ind w:firstLine="640"/>
      <w:spacing w:line="560" w:lineRule="exact"/>
      <w:widowControl w:val="off"/>
    </w:pPr>
    <w:rPr>
      <w:rFonts w:ascii="仿宋_GB2312" w:hAnsi="仿宋_GB2312" w:cs="仿宋_GB2312"/>
      <w:lang w:val="zh-TW"/>
    </w:rPr>
  </w:style>
  <w:style w:type="paragraph" w:styleId="898" w:customStyle="1">
    <w:name w:val="左对齐正文"/>
    <w:uiPriority w:val="99"/>
    <w:qFormat/>
    <w:rPr>
      <w:rFonts w:hint="default" w:ascii="Calibri" w:hAnsi="Calibri" w:eastAsia="仿宋_GB2312" w:cs="Calibri"/>
      <w:sz w:val="32"/>
      <w:szCs w:val="32"/>
      <w:lang w:val="en-US" w:eastAsia="zh-CN" w:bidi="ar-SA"/>
    </w:rPr>
  </w:style>
  <w:style w:type="paragraph" w:styleId="899" w:customStyle="1">
    <w:name w:val="Char1"/>
    <w:basedOn w:val="650"/>
    <w:uiPriority w:val="0"/>
    <w:qFormat/>
    <w:pPr>
      <w:ind w:firstLine="200"/>
      <w:tabs>
        <w:tab w:val="left" w:pos="360" w:leader="none"/>
      </w:tabs>
    </w:pPr>
    <w:rPr>
      <w:sz w:val="28"/>
      <w:szCs w:val="30"/>
    </w:rPr>
  </w:style>
  <w:style w:type="paragraph" w:styleId="900" w:customStyle="1">
    <w:name w:val="普通正文"/>
    <w:basedOn w:val="650"/>
    <w:uiPriority w:val="0"/>
    <w:qFormat/>
    <w:pPr>
      <w:ind w:firstLine="480"/>
      <w:jc w:val="left"/>
      <w:spacing w:before="120" w:after="120" w:line="360" w:lineRule="auto"/>
    </w:pPr>
    <w:rPr>
      <w:rFonts w:ascii="Arial" w:hAnsi="Arial"/>
      <w:sz w:val="24"/>
    </w:rPr>
  </w:style>
  <w:style w:type="paragraph" w:styleId="901" w:customStyle="1">
    <w:name w:val="标题 21"/>
    <w:basedOn w:val="650"/>
    <w:next w:val="65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2"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903"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904"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905" w:customStyle="1">
    <w:name w:val="正文文本12"/>
    <w:basedOn w:val="650"/>
    <w:uiPriority w:val="1"/>
    <w:qFormat/>
    <w:pPr>
      <w:ind w:left="120"/>
    </w:pPr>
    <w:rPr>
      <w:rFonts w:ascii="宋体" w:hAnsi="宋体" w:cs="宋体"/>
      <w:lang w:val="zh-CN" w:bidi="zh-CN"/>
    </w:rPr>
  </w:style>
  <w:style w:type="paragraph" w:styleId="906" w:customStyle="1">
    <w:name w:val="Normal_18_0"/>
    <w:uiPriority w:val="0"/>
    <w:qFormat/>
    <w:rPr>
      <w:rFonts w:hint="default" w:ascii="黑体" w:hAnsi="黑体" w:eastAsia="黑体" w:cs="黑体"/>
      <w:b/>
      <w:sz w:val="32"/>
      <w:szCs w:val="24"/>
      <w:lang w:val="en-US" w:eastAsia="zh-CN" w:bidi="ar-SA"/>
    </w:rPr>
  </w:style>
  <w:style w:type="paragraph" w:styleId="907" w:customStyle="1">
    <w:name w:val="正文_12_0_0_0_0"/>
    <w:basedOn w:val="650"/>
    <w:uiPriority w:val="0"/>
    <w:qFormat/>
  </w:style>
  <w:style w:type="paragraph" w:styleId="90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1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1" w:customStyle="1">
    <w:name w:val="Normal_20"/>
    <w:uiPriority w:val="0"/>
    <w:qFormat/>
    <w:rPr>
      <w:rFonts w:hint="default" w:ascii="黑体" w:hAnsi="黑体" w:eastAsia="黑体" w:cs="黑体"/>
      <w:b/>
      <w:sz w:val="32"/>
      <w:szCs w:val="24"/>
      <w:lang w:val="en-US" w:eastAsia="zh-CN" w:bidi="ar-SA"/>
    </w:rPr>
  </w:style>
  <w:style w:type="paragraph" w:styleId="91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913" w:customStyle="1">
    <w:name w:val="页码1"/>
    <w:uiPriority w:val="0"/>
    <w:qFormat/>
  </w:style>
  <w:style w:type="paragraph" w:styleId="914" w:customStyle="1">
    <w:name w:val="WPSOffice手动目录 1"/>
    <w:uiPriority w:val="0"/>
    <w:qFormat/>
    <w:rPr>
      <w:rFonts w:hint="default" w:ascii="Times New Roman" w:hAnsi="Times New Roman" w:eastAsia="宋体" w:cs="Times New Roman"/>
      <w:lang w:val="en-US" w:eastAsia="zh-CN" w:bidi="ar-SA"/>
    </w:rPr>
  </w:style>
  <w:style w:type="character" w:styleId="915" w:customStyle="1">
    <w:name w:val="font11"/>
    <w:basedOn w:val="660"/>
    <w:uiPriority w:val="0"/>
    <w:qFormat/>
    <w:rPr>
      <w:rFonts w:hint="eastAsia" w:ascii="宋体" w:hAnsi="宋体" w:eastAsia="宋体" w:cs="宋体"/>
      <w:color w:val="000000"/>
      <w:sz w:val="24"/>
      <w:szCs w:val="24"/>
      <w:u w:val="none"/>
    </w:rPr>
  </w:style>
  <w:style w:type="character" w:styleId="916" w:customStyle="1">
    <w:name w:val="font101"/>
    <w:basedOn w:val="660"/>
    <w:uiPriority w:val="0"/>
    <w:qFormat/>
    <w:rPr>
      <w:rFonts w:ascii="Cambria Math" w:hAnsi="Cambria Math" w:eastAsia="Cambria Math" w:cs="Cambria Math"/>
      <w:color w:val="000000"/>
      <w:sz w:val="24"/>
      <w:szCs w:val="24"/>
      <w:u w:val="none"/>
    </w:rPr>
  </w:style>
  <w:style w:type="character" w:styleId="917" w:customStyle="1">
    <w:name w:val="font41"/>
    <w:basedOn w:val="660"/>
    <w:uiPriority w:val="0"/>
    <w:qFormat/>
    <w:rPr>
      <w:rFonts w:hint="eastAsia" w:ascii="宋体" w:hAnsi="宋体" w:eastAsia="宋体" w:cs="宋体"/>
      <w:color w:val="000000"/>
      <w:sz w:val="24"/>
      <w:szCs w:val="24"/>
      <w:u w:val="none"/>
    </w:rPr>
  </w:style>
  <w:style w:type="character" w:styleId="918" w:customStyle="1">
    <w:name w:val="font112"/>
    <w:basedOn w:val="660"/>
    <w:uiPriority w:val="0"/>
    <w:qFormat/>
    <w:rPr>
      <w:rFonts w:ascii="Calibri" w:hAnsi="Calibri" w:cs="Calibri"/>
      <w:color w:val="000000"/>
      <w:sz w:val="24"/>
      <w:szCs w:val="24"/>
      <w:u w:val="none"/>
    </w:rPr>
  </w:style>
  <w:style w:type="character" w:styleId="919" w:customStyle="1">
    <w:name w:val="font61"/>
    <w:basedOn w:val="660"/>
    <w:uiPriority w:val="0"/>
    <w:qFormat/>
    <w:rPr>
      <w:rFonts w:hint="default" w:ascii="Calibri" w:hAnsi="Calibri" w:cs="Calibri"/>
      <w:color w:val="000000"/>
      <w:sz w:val="20"/>
      <w:szCs w:val="20"/>
      <w:u w:val="none"/>
    </w:rPr>
  </w:style>
  <w:style w:type="character" w:styleId="920" w:customStyle="1">
    <w:name w:val="font31"/>
    <w:basedOn w:val="660"/>
    <w:uiPriority w:val="0"/>
    <w:qFormat/>
    <w:rPr>
      <w:rFonts w:hint="eastAsia" w:ascii="宋体" w:hAnsi="宋体" w:eastAsia="宋体" w:cs="宋体"/>
      <w:color w:val="000000"/>
      <w:sz w:val="20"/>
      <w:szCs w:val="20"/>
      <w:u w:val="none"/>
    </w:rPr>
  </w:style>
  <w:style w:type="paragraph" w:styleId="921" w:customStyle="1">
    <w:name w:val="标题 211"/>
    <w:basedOn w:val="650"/>
    <w:next w:val="922"/>
    <w:uiPriority w:val="0"/>
    <w:qFormat/>
    <w:pPr>
      <w:keepLines/>
      <w:keepNext/>
      <w:spacing w:before="260" w:after="260" w:line="413" w:lineRule="auto"/>
      <w:outlineLvl w:val="1"/>
    </w:pPr>
    <w:rPr>
      <w:rFonts w:ascii="Arial" w:hAnsi="Arial" w:eastAsia="黑体"/>
      <w:b/>
      <w:sz w:val="32"/>
      <w:szCs w:val="20"/>
    </w:rPr>
  </w:style>
  <w:style w:type="paragraph" w:styleId="922" w:customStyle="1">
    <w:name w:val="正文缩进11"/>
    <w:basedOn w:val="650"/>
    <w:uiPriority w:val="0"/>
    <w:qFormat/>
    <w:pPr>
      <w:ind w:firstLine="420"/>
    </w:pPr>
    <w:rPr>
      <w:rFonts w:ascii="宋体"/>
      <w:color w:val="000000"/>
      <w:sz w:val="24"/>
      <w:szCs w:val="20"/>
    </w:rPr>
  </w:style>
  <w:style w:type="paragraph" w:styleId="923" w:customStyle="1">
    <w:name w:val="纯文本1"/>
    <w:basedOn w:val="879"/>
    <w:uiPriority w:val="0"/>
    <w:qFormat/>
    <w:rPr>
      <w:rFonts w:ascii="宋体" w:hAnsi="Courier New" w:cs="Courier New"/>
    </w:rPr>
  </w:style>
  <w:style w:type="character" w:styleId="924" w:customStyle="1">
    <w:name w:val="默认段落字体11"/>
    <w:uiPriority w:val="1"/>
    <w:unhideWhenUsed/>
    <w:qFormat/>
    <w:rPr>
      <w:rFonts w:ascii="Calibri" w:hAnsi="Calibri"/>
      <w:sz w:val="21"/>
      <w:szCs w:val="22"/>
      <w:lang w:val="en-US" w:eastAsia="zh-CN" w:bidi="ar-SA"/>
    </w:rPr>
  </w:style>
  <w:style w:type="paragraph" w:styleId="925" w:customStyle="1">
    <w:name w:val="正文_18"/>
    <w:next w:val="92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6" w:customStyle="1">
    <w:name w:val="正文首行缩进 2_1"/>
    <w:basedOn w:val="927"/>
    <w:uiPriority w:val="0"/>
    <w:qFormat/>
    <w:pPr>
      <w:ind w:left="420" w:firstLine="420"/>
      <w:spacing w:before="0" w:after="120" w:line="240" w:lineRule="auto"/>
    </w:pPr>
    <w:rPr>
      <w:rFonts w:ascii="Times New Roman" w:hAnsi="Times New Roman"/>
      <w:szCs w:val="24"/>
    </w:rPr>
  </w:style>
  <w:style w:type="paragraph" w:styleId="927" w:customStyle="1">
    <w:name w:val="正文文本缩进_1"/>
    <w:basedOn w:val="925"/>
    <w:next w:val="928"/>
    <w:uiPriority w:val="0"/>
    <w:unhideWhenUsed/>
    <w:qFormat/>
    <w:pPr>
      <w:ind w:firstLine="552"/>
      <w:spacing w:before="240" w:line="360" w:lineRule="auto"/>
    </w:pPr>
    <w:rPr>
      <w:rFonts w:ascii="宋体" w:hAnsi="宋体"/>
      <w:szCs w:val="20"/>
    </w:rPr>
  </w:style>
  <w:style w:type="paragraph" w:styleId="928" w:customStyle="1">
    <w:name w:val="批注主题_1"/>
    <w:basedOn w:val="929"/>
    <w:next w:val="925"/>
    <w:uiPriority w:val="0"/>
    <w:unhideWhenUsed/>
    <w:qFormat/>
    <w:rPr>
      <w:b/>
      <w:bCs/>
      <w:szCs w:val="24"/>
    </w:rPr>
  </w:style>
  <w:style w:type="paragraph" w:styleId="929" w:customStyle="1">
    <w:name w:val="批注文字_1"/>
    <w:basedOn w:val="925"/>
    <w:uiPriority w:val="99"/>
    <w:unhideWhenUsed/>
    <w:qFormat/>
    <w:pPr>
      <w:jc w:val="left"/>
    </w:pPr>
  </w:style>
  <w:style w:type="paragraph" w:styleId="930" w:customStyle="1">
    <w:name w:val="正文_18_0_0_1"/>
    <w:uiPriority w:val="99"/>
    <w:qFormat/>
    <w:pPr>
      <w:jc w:val="both"/>
      <w:widowControl w:val="off"/>
    </w:pPr>
    <w:rPr>
      <w:rFonts w:hint="default" w:ascii="Calibri" w:hAnsi="Calibri" w:eastAsia="宋体" w:cs="Times New Roman"/>
      <w:sz w:val="21"/>
      <w:szCs w:val="22"/>
      <w:lang w:val="en-US" w:eastAsia="zh-CN" w:bidi="ar-SA"/>
    </w:rPr>
  </w:style>
  <w:style w:type="paragraph" w:styleId="931" w:customStyle="1">
    <w:name w:val="Normal_0_2_0"/>
    <w:uiPriority w:val="0"/>
    <w:qFormat/>
    <w:rPr>
      <w:rFonts w:hint="default" w:ascii="黑体" w:hAnsi="黑体" w:eastAsia="黑体" w:cs="Times New Roman"/>
      <w:b/>
      <w:sz w:val="32"/>
      <w:szCs w:val="24"/>
      <w:lang w:val="en-US" w:eastAsia="zh-CN" w:bidi="ar-SA"/>
    </w:rPr>
  </w:style>
  <w:style w:type="character" w:styleId="932" w:customStyle="1">
    <w:name w:val="10"/>
    <w:basedOn w:val="855"/>
    <w:uiPriority w:val="0"/>
    <w:qFormat/>
    <w:rPr>
      <w:rFonts w:ascii="Times New Roman" w:hAnsi="Times New Roman" w:eastAsia="Times New Roman" w:cs="Times New Roman"/>
    </w:rPr>
  </w:style>
  <w:style w:type="numbering" w:styleId="97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朱楠</cp:lastModifiedBy>
  <cp:revision>17</cp:revision>
  <dcterms:created xsi:type="dcterms:W3CDTF">2022-12-13T00:17:00Z</dcterms:created>
  <dcterms:modified xsi:type="dcterms:W3CDTF">2025-11-21T08:07:04Z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eyJoZGlkIjoiMDRiNWM4ZTRkMzMxZWMzM2IxMDc5NzU0Njk3ODNlNzAiLCJ1c2VySWQiOiIxMDE0MTU2NDc0In0=</vt:lpwstr>
  </property>
  <property fmtid="{D5CDD505-2E9C-101B-9397-08002B2CF9AE}" pid="3" name="KSOProductBuildVer">
    <vt:lpwstr>2052-12.1.0.22175</vt:lpwstr>
  </property>
  <property fmtid="{D5CDD505-2E9C-101B-9397-08002B2CF9AE}" pid="4" name="ICV">
    <vt:lpwstr>80245C6C3D7E44FFB9289CA92ECE84AD_13</vt:lpwstr>
  </property>
</Properties>
</file>